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81" w:rsidRPr="001E6981" w:rsidRDefault="001E6981" w:rsidP="001E6981"/>
    <w:p w:rsidR="001E6981" w:rsidRDefault="001E6981" w:rsidP="001E6981"/>
    <w:p w:rsidR="00433089" w:rsidRPr="00433089" w:rsidRDefault="001E6981" w:rsidP="00433089">
      <w:pPr>
        <w:spacing w:before="91"/>
        <w:ind w:left="676"/>
        <w:rPr>
          <w:rFonts w:asciiTheme="minorHAnsi" w:hAnsiTheme="minorHAnsi" w:cstheme="minorHAnsi"/>
          <w:b/>
        </w:rPr>
      </w:pPr>
      <w:r w:rsidRPr="00433089">
        <w:rPr>
          <w:rFonts w:asciiTheme="minorHAnsi" w:hAnsiTheme="minorHAnsi" w:cstheme="minorHAnsi"/>
          <w:b/>
        </w:rPr>
        <w:t>Załącznik nr 7 -</w:t>
      </w:r>
      <w:r w:rsidR="00433089" w:rsidRPr="00433089">
        <w:rPr>
          <w:rFonts w:cstheme="minorHAnsi"/>
          <w:b/>
          <w:sz w:val="24"/>
          <w:szCs w:val="24"/>
        </w:rPr>
        <w:t xml:space="preserve"> </w:t>
      </w:r>
      <w:r w:rsidR="00433089" w:rsidRPr="00F3275D">
        <w:rPr>
          <w:rFonts w:asciiTheme="minorHAnsi" w:hAnsiTheme="minorHAnsi" w:cstheme="minorHAnsi"/>
          <w:b/>
        </w:rPr>
        <w:t>Zestawienie standardów i cen rynkowych wybranych wydatków ponoszonych w ramach projektu niekonkurencyjnego pn. „</w:t>
      </w:r>
      <w:r w:rsidR="0053761F" w:rsidRPr="0053761F">
        <w:rPr>
          <w:rFonts w:asciiTheme="minorHAnsi" w:hAnsiTheme="minorHAnsi" w:cstheme="minorHAnsi"/>
          <w:b/>
          <w:bCs/>
        </w:rPr>
        <w:t>Rozwijanie egzaminów zawodowych w zakresie weryfikacji kompetencji kluczowych ze szczególnym uwzględnieniem kompetencji cyfrowych</w:t>
      </w:r>
      <w:r w:rsidR="00433089" w:rsidRPr="0053761F">
        <w:rPr>
          <w:rFonts w:asciiTheme="minorHAnsi" w:hAnsiTheme="minorHAnsi" w:cstheme="minorHAnsi"/>
          <w:b/>
          <w:bCs/>
        </w:rPr>
        <w:t>”</w:t>
      </w:r>
      <w:r w:rsidR="00433089" w:rsidRPr="00F3275D">
        <w:rPr>
          <w:rFonts w:asciiTheme="minorHAnsi" w:hAnsiTheme="minorHAnsi" w:cstheme="minorHAnsi"/>
          <w:b/>
        </w:rPr>
        <w:t xml:space="preserve"> realizowanego w ramach Program Fundusze Eur</w:t>
      </w:r>
      <w:r w:rsidR="00433089" w:rsidRPr="00433089">
        <w:rPr>
          <w:rFonts w:asciiTheme="minorHAnsi" w:hAnsiTheme="minorHAnsi" w:cstheme="minorHAnsi"/>
          <w:b/>
        </w:rPr>
        <w:t>opejskie dla Rozwoju Społecznego</w:t>
      </w:r>
      <w:r w:rsidR="00433089" w:rsidRPr="00433089">
        <w:rPr>
          <w:rFonts w:asciiTheme="minorHAnsi" w:hAnsiTheme="minorHAnsi" w:cstheme="minorHAnsi"/>
          <w:b/>
          <w:bCs/>
        </w:rPr>
        <w:t>, Działanie 01.04 Rozwój systemu edukacji,</w:t>
      </w:r>
      <w:r w:rsidR="00433089" w:rsidRPr="00433089">
        <w:rPr>
          <w:rFonts w:asciiTheme="minorHAnsi" w:hAnsiTheme="minorHAnsi" w:cstheme="minorHAnsi"/>
          <w:b/>
        </w:rPr>
        <w:t xml:space="preserve"> stanowiącego podstawę do oceny prawidłowości konstruowania budżetu projektu weryfikowanego przez Instytucję Pośredniczącą </w:t>
      </w:r>
      <w:proofErr w:type="spellStart"/>
      <w:r w:rsidR="00433089" w:rsidRPr="00433089">
        <w:rPr>
          <w:rFonts w:asciiTheme="minorHAnsi" w:hAnsiTheme="minorHAnsi" w:cstheme="minorHAnsi"/>
          <w:b/>
        </w:rPr>
        <w:t>MEiN</w:t>
      </w:r>
      <w:proofErr w:type="spellEnd"/>
    </w:p>
    <w:p w:rsidR="001E6981" w:rsidRDefault="001E6981" w:rsidP="001E6981"/>
    <w:tbl>
      <w:tblPr>
        <w:tblStyle w:val="Tabela-Siatka"/>
        <w:tblW w:w="1408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570"/>
        <w:gridCol w:w="2260"/>
        <w:gridCol w:w="2853"/>
      </w:tblGrid>
      <w:tr w:rsidR="001E6981" w:rsidTr="00766089">
        <w:trPr>
          <w:trHeight w:val="498"/>
        </w:trPr>
        <w:tc>
          <w:tcPr>
            <w:tcW w:w="562" w:type="dxa"/>
            <w:vAlign w:val="center"/>
          </w:tcPr>
          <w:p w:rsidR="001E6981" w:rsidRDefault="001E6981" w:rsidP="001E6981">
            <w:pPr>
              <w:jc w:val="center"/>
            </w:pPr>
            <w:r>
              <w:t>Lp.</w:t>
            </w:r>
          </w:p>
        </w:tc>
        <w:tc>
          <w:tcPr>
            <w:tcW w:w="2835" w:type="dxa"/>
            <w:vAlign w:val="center"/>
          </w:tcPr>
          <w:p w:rsidR="001E6981" w:rsidRDefault="001E6981" w:rsidP="001E6981">
            <w:pPr>
              <w:jc w:val="center"/>
            </w:pPr>
            <w:r>
              <w:t>Towar/Usługa</w:t>
            </w:r>
          </w:p>
        </w:tc>
        <w:tc>
          <w:tcPr>
            <w:tcW w:w="5570" w:type="dxa"/>
            <w:vAlign w:val="center"/>
          </w:tcPr>
          <w:p w:rsidR="001E6981" w:rsidRDefault="001E6981" w:rsidP="001E6981">
            <w:pPr>
              <w:jc w:val="center"/>
            </w:pPr>
            <w:r>
              <w:t>Standard –warunki kwalifikowania wydatku na etapie oceny projektów</w:t>
            </w:r>
          </w:p>
        </w:tc>
        <w:tc>
          <w:tcPr>
            <w:tcW w:w="2260" w:type="dxa"/>
            <w:vAlign w:val="center"/>
          </w:tcPr>
          <w:p w:rsidR="001E6981" w:rsidRDefault="001E6981" w:rsidP="001E6981">
            <w:pPr>
              <w:jc w:val="center"/>
            </w:pPr>
            <w:r>
              <w:t>Maksymalna cena</w:t>
            </w:r>
          </w:p>
        </w:tc>
        <w:tc>
          <w:tcPr>
            <w:tcW w:w="2853" w:type="dxa"/>
            <w:vAlign w:val="center"/>
          </w:tcPr>
          <w:p w:rsidR="001E6981" w:rsidRDefault="001E6981" w:rsidP="001E6981">
            <w:pPr>
              <w:jc w:val="center"/>
            </w:pPr>
            <w:r>
              <w:t>Dodatkowe zalecenia</w:t>
            </w:r>
          </w:p>
        </w:tc>
      </w:tr>
      <w:tr w:rsidR="001E6981" w:rsidTr="00766089">
        <w:tc>
          <w:tcPr>
            <w:tcW w:w="562" w:type="dxa"/>
            <w:vAlign w:val="center"/>
          </w:tcPr>
          <w:p w:rsidR="001E6981" w:rsidRPr="00153DBC" w:rsidRDefault="001E6981" w:rsidP="00CF45B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Przerwa kawowa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"/>
              <w:ind w:right="2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forma wsparcia, w ramach której ma być świadczona przerwa kawowa dla tej samej grupy osób w danym dniu trwa co najmniej 2 godziny lekcyjne; w przypadku, gdy wsparcie dla tej samej grupy osób w danym dniu trwa powyżej 6 godzin lekcyjnych (tj. 6 x 45 minut) istnieje możliwość zapewnienia drugiej przerwy kawowej (nie dotyczy przypadku, gdy przewidziany jest zimny bufet) lub przerwy</w:t>
            </w:r>
            <w:r w:rsidRPr="00153DB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ciągłej.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12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wodę (w szklanych butelkach lub woda z dystrybutorów wody pitnej serwowana w szklanych dzbankach), mleko, cukier lub jego zamiennik, cytrynę, drobne słone lub słodkie przekąski typu paluszki lub kruche ciastka lub owoce,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8"/>
              <w:ind w:right="1474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powinna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7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</w:p>
          <w:p w:rsidR="00CF45B9" w:rsidRDefault="001E6981" w:rsidP="001E6981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Jednorazowa – 33 zł </w:t>
            </w:r>
          </w:p>
          <w:p w:rsidR="001E6981" w:rsidRPr="00153DBC" w:rsidRDefault="001E6981" w:rsidP="001E6981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Ciągła – 55 zł</w:t>
            </w:r>
          </w:p>
        </w:tc>
        <w:tc>
          <w:tcPr>
            <w:tcW w:w="2853" w:type="dxa"/>
            <w:vAlign w:val="center"/>
          </w:tcPr>
          <w:p w:rsidR="001E6981" w:rsidRPr="00153DBC" w:rsidRDefault="001E6981" w:rsidP="001E69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E6981" w:rsidTr="00766089">
        <w:tc>
          <w:tcPr>
            <w:tcW w:w="562" w:type="dxa"/>
            <w:vAlign w:val="center"/>
          </w:tcPr>
          <w:p w:rsidR="001E6981" w:rsidRPr="00153DBC" w:rsidRDefault="001E6981" w:rsidP="00CF45B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153DBC">
              <w:rPr>
                <w:rFonts w:asciiTheme="minorHAnsi" w:hAnsiTheme="minorHAnsi" w:cstheme="minorHAnsi"/>
                <w:w w:val="110"/>
              </w:rPr>
              <w:t xml:space="preserve">Lunch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 xml:space="preserve">obiad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>kolacja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Default="001E6981" w:rsidP="001E698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dwa dania (zupa i drugie danie) oraz napój (w szklanych butelkach lub woda z dystrybutora wody pitnej w szklanych dzbankach),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1"/>
              <w:ind w:right="6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kwalifikowalny jest posiłek specjalny (np. bezglutenowy, bez laktozy, koszerny), w szczególności jeśli zgłoszone zostały specjalne potrzeby uczestników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2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153DBC">
              <w:rPr>
                <w:rFonts w:asciiTheme="minorHAnsi" w:hAnsiTheme="minorHAnsi" w:cstheme="minorHAnsi"/>
              </w:rPr>
              <w:t>biodegradalnych</w:t>
            </w:r>
            <w:proofErr w:type="spellEnd"/>
            <w:r w:rsidRPr="00153DBC">
              <w:rPr>
                <w:rFonts w:asciiTheme="minorHAnsi" w:hAnsiTheme="minorHAnsi" w:cstheme="minorHAnsi"/>
              </w:rPr>
              <w:t>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0"/>
              <w:ind w:right="12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lunchu/obiadu wydatek kwalifikowalny, o ile wsparcie dla tej samej grupy osób w danym dniu trwa co najmniej 6 godzin lekcyjnych (tj. 6 x 45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minut).</w:t>
            </w:r>
          </w:p>
          <w:p w:rsidR="001E6981" w:rsidRPr="001839C8" w:rsidRDefault="001E6981" w:rsidP="001E698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kolacji wydatek kwalifikowalny, o ile finansowana jest równocześnie usługa</w:t>
            </w:r>
            <w:r w:rsidRPr="00153DB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noclegowa.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  <w:r w:rsidRPr="00153DBC">
              <w:rPr>
                <w:rFonts w:asciiTheme="minorHAnsi" w:hAnsiTheme="minorHAnsi" w:cstheme="minorHAnsi"/>
              </w:rPr>
              <w:t>60 zł</w:t>
            </w:r>
          </w:p>
        </w:tc>
        <w:tc>
          <w:tcPr>
            <w:tcW w:w="2853" w:type="dxa"/>
          </w:tcPr>
          <w:p w:rsidR="001E6981" w:rsidRDefault="001E6981" w:rsidP="001E69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981" w:rsidTr="00766089">
        <w:tc>
          <w:tcPr>
            <w:tcW w:w="562" w:type="dxa"/>
            <w:vAlign w:val="center"/>
          </w:tcPr>
          <w:p w:rsidR="001E6981" w:rsidRPr="00153DBC" w:rsidRDefault="001E6981" w:rsidP="00CF45B9">
            <w:pPr>
              <w:pStyle w:val="TableParagraph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Zimny bufet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9"/>
              <w:ind w:right="10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forma wsparcia, w ramach której ma być świadczony zimny bufet dla tej samej grupy osób w danym dniu trwa co najmniej 4 godziny lekcyjne (tj. 4 x 45 minut) i nie jest przewidziany lunch/obiad/przerwa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kawowa.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napój (w szklanych butelkach lub woda z dystrybutorów wody pitnej w szklanych dzbankach), mleko, cukier, cytryna, drobne słone lub słodkie przekąski typu paluszki lub kruche ciastka lub owoce, kanapki, przekąski koktajlowe,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41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powinien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260" w:type="dxa"/>
            <w:vAlign w:val="center"/>
          </w:tcPr>
          <w:p w:rsidR="001E6981" w:rsidRDefault="001E6981" w:rsidP="001E6981">
            <w:pPr>
              <w:pStyle w:val="TableParagraph"/>
              <w:spacing w:before="3"/>
              <w:ind w:left="1007" w:right="1007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1E6981" w:rsidRPr="00153DBC" w:rsidRDefault="001E6981" w:rsidP="00C33F27">
            <w:pPr>
              <w:pStyle w:val="TableParagraph"/>
              <w:spacing w:before="3"/>
              <w:ind w:right="3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 </w:t>
            </w:r>
            <w:r w:rsidRPr="00153DBC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rPr>
                <w:rFonts w:asciiTheme="minorHAnsi" w:hAnsiTheme="minorHAnsi" w:cstheme="minorHAnsi"/>
              </w:rPr>
            </w:pPr>
          </w:p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ind w:left="103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</w:rPr>
              <w:t>Nocleg w kraju</w:t>
            </w:r>
            <w:r w:rsidRPr="00153DBC">
              <w:rPr>
                <w:rFonts w:asciiTheme="minorHAnsi" w:hAnsiTheme="minorHAnsi" w:cstheme="minorHAnsi"/>
                <w:position w:val="8"/>
                <w:sz w:val="14"/>
              </w:rPr>
              <w:t>1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5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możliwość zagwarantowania noclegu dotyczy uczestników, którzy posiadają miejsce zamieszkania w miejscowości innej niż ta miejscowość, w której odbywa się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wsparcie.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3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wsparcie (np. szkolenie, spotkanie) dla tej samej grupy osób trwa co najmniej 2 dni, z zastrzeżeniem że w przypadku wsparcia trwającego nie dłużej niż jeden dzień wydatek kwalifikowalny w sytuacji, gdy miejsce prowadzenia wsparcia jest oddalone od miejsca zamieszkania osoby w niej uczestniczącej o więcej niż 50 km (droga publiczną, a nie w linii prostej), a jednocześnie wsparcie zaczyna się przed godziną 9.00 lub kończy się po godzinie 17.00, chyba że nie ma dostępnego dojazdu publicznymi środkami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transportu.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 w miejscu noclegowym o standardzie hotelu maksymalnie 3* wraz ze śniadaniem, przy czym istnieje możliwość szerszego zakresu usługi, o ile mieści się w określonej standardem cenie rynkowej i jest to uzasadnione celami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7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nocleg, co do zasady w pokojach 2-osobowych (nocleg w pokojach 1-osobowych jest kwalifikowalny tylko w uzasadnionych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przypadkach).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290 zł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pStyle w:val="TableParagraph"/>
              <w:spacing w:before="1"/>
              <w:ind w:left="103" w:right="1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 zachowanie zgodności z zasadą zrównoważonego rozwoju poprzez kwaterowanie uczestników projektu w miejscu, gdzie dojazd możliwy jest za pomocą publicznego środka transportu, możliwie jak najbliżej miejsca wsparcia.</w:t>
            </w:r>
          </w:p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 w:right="547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Zwrot kosztów dojazdu uczestników projektu</w:t>
            </w:r>
            <w:r w:rsidRPr="00153DBC">
              <w:rPr>
                <w:rFonts w:asciiTheme="minorHAnsi" w:hAnsiTheme="minorHAnsi" w:cstheme="minorHAnsi"/>
                <w:w w:val="105"/>
                <w:position w:val="8"/>
                <w:sz w:val="14"/>
              </w:rPr>
              <w:t>2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1"/>
              <w:ind w:right="32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związku z uzasadnionymi potrzebami grupy docelowej (np. koszty dojazdów dla osób niepełnosprawnych,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bezrobotnych).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9"/>
              <w:ind w:right="29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do wysokości opłat za środki transportu publicznego szynowego lub kołowego zgodnie z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cennikiem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biletów II klasy obowiązującym na danym obszarze, także w przypadku korzystania ze środków transportu prywatnego (w szczególności samochodem lub taksówką) lub tam gdzie zamiast skorzystania z transportu szynowego lub kołowego uzasadnione jest skorzystanie z transportu lotniczego, jako refundacja wydatku faktycznie poniesionego do ww. wysokości.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uzależniona od rodzaju środka transportu i odległości.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pStyle w:val="TableParagraph"/>
              <w:ind w:left="103" w:right="16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celu zachowania zgodności z zasadą zrównoważonego rozwoju rekomenduje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się wykorzystywanie transportu szynowego, o ile na danej trasie jest dostępny a korzystanie z niego nie wymusza ponoszenia dodatkowych kosztów związanych, np. z dodatkowym noclegiem.</w:t>
            </w:r>
          </w:p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Spotkanie </w:t>
            </w:r>
            <w:r w:rsidRPr="00153DBC">
              <w:rPr>
                <w:rFonts w:asciiTheme="minorHAnsi" w:hAnsiTheme="minorHAnsi" w:cstheme="minorHAnsi"/>
              </w:rPr>
              <w:t xml:space="preserve">informacyjne/szkolenia </w:t>
            </w:r>
            <w:r w:rsidRPr="00153DBC">
              <w:rPr>
                <w:rFonts w:asciiTheme="minorHAnsi" w:hAnsiTheme="minorHAnsi" w:cstheme="minorHAnsi"/>
                <w:w w:val="105"/>
              </w:rPr>
              <w:t>obejmujące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154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wynajem sali </w:t>
            </w:r>
            <w:r w:rsidR="00867F1A">
              <w:rPr>
                <w:rFonts w:asciiTheme="minorHAnsi" w:hAnsiTheme="minorHAnsi" w:cstheme="minorHAnsi"/>
                <w:spacing w:val="-1"/>
              </w:rPr>
              <w:t>konferencyjnej/szkoleniowe</w:t>
            </w:r>
            <w:r w:rsidRPr="00153DBC">
              <w:rPr>
                <w:rFonts w:asciiTheme="minorHAnsi" w:hAnsiTheme="minorHAnsi" w:cstheme="minorHAnsi"/>
              </w:rPr>
              <w:t>j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417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wyposażenie techniczne sali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2"/>
              <w:ind w:right="7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 przypadku wynajmu </w:t>
            </w:r>
            <w:proofErr w:type="spellStart"/>
            <w:r w:rsidRPr="00153DBC">
              <w:rPr>
                <w:rFonts w:asciiTheme="minorHAnsi" w:hAnsiTheme="minorHAnsi" w:cstheme="minorHAnsi"/>
              </w:rPr>
              <w:t>sal</w:t>
            </w:r>
            <w:proofErr w:type="spellEnd"/>
            <w:r w:rsidRPr="00153DBC">
              <w:rPr>
                <w:rFonts w:asciiTheme="minorHAnsi" w:hAnsiTheme="minorHAnsi" w:cstheme="minorHAnsi"/>
              </w:rPr>
              <w:t xml:space="preserve"> należy przestrzegać wymogów związanych z dostępnością ujętych w standardzie architektonicznym, szkoleniowym stanowiących zał. nr 2 do Wytycznych.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uzależniona od liczby osób, rodzaju spotkania i zakresu wsparcia.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 w:right="70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Zakup materiałów dla </w:t>
            </w:r>
            <w:r w:rsidRPr="00153DBC">
              <w:rPr>
                <w:rFonts w:asciiTheme="minorHAnsi" w:hAnsiTheme="minorHAnsi" w:cstheme="minorHAnsi"/>
              </w:rPr>
              <w:t>uczestników szkolenia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9"/>
              <w:ind w:right="93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przewidziane są w ramach realizowanego projektu szkolenia/warsztaty/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doradztwo.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14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przygotowania materiałów w formie cyfrowej należy zapewnić ich dostępność zgodnie ze standardem info-</w:t>
            </w:r>
            <w:proofErr w:type="spellStart"/>
            <w:r w:rsidRPr="00153DBC">
              <w:rPr>
                <w:rFonts w:asciiTheme="minorHAnsi" w:hAnsiTheme="minorHAnsi" w:cstheme="minorHAnsi"/>
              </w:rPr>
              <w:t>promo</w:t>
            </w:r>
            <w:proofErr w:type="spellEnd"/>
            <w:r w:rsidRPr="00153DBC">
              <w:rPr>
                <w:rFonts w:asciiTheme="minorHAnsi" w:hAnsiTheme="minorHAnsi" w:cstheme="minorHAnsi"/>
              </w:rPr>
              <w:t>, szkoleniowym, stanowiących zał. nr 2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Wytycznych.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8"/>
              <w:ind w:right="4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co do zasady nie są kwalifikowalne tzw. gadżety o charakterze promocyjnym.</w:t>
            </w:r>
          </w:p>
        </w:tc>
        <w:tc>
          <w:tcPr>
            <w:tcW w:w="2260" w:type="dxa"/>
            <w:vAlign w:val="center"/>
          </w:tcPr>
          <w:p w:rsidR="001E6981" w:rsidRPr="00153DBC" w:rsidRDefault="00867F1A" w:rsidP="001E6981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uzależniona od rodzaju </w:t>
            </w:r>
            <w:r w:rsidR="001E6981" w:rsidRPr="00153DBC">
              <w:rPr>
                <w:rFonts w:asciiTheme="minorHAnsi" w:hAnsiTheme="minorHAnsi" w:cstheme="minorHAnsi"/>
              </w:rPr>
              <w:t>wsparcia w projekcie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się: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4"/>
              </w:numPr>
              <w:ind w:left="392" w:right="66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zachowanie zgodności z zasadą zrównoważonego rozwoju poprzez ograniczenie przekazywania materiałów w wersji papierowej na rzecz materiałów udostępnianych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formie elektronicznej.</w:t>
            </w:r>
          </w:p>
          <w:p w:rsidR="001E6981" w:rsidRPr="001E6981" w:rsidRDefault="001E6981" w:rsidP="001E6981">
            <w:pPr>
              <w:pStyle w:val="TableParagraph"/>
              <w:numPr>
                <w:ilvl w:val="0"/>
                <w:numId w:val="13"/>
              </w:numPr>
              <w:spacing w:before="13"/>
              <w:ind w:left="433" w:right="14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konieczności przygotowania materiałów dla uczestników zaleca się stosowanie papieru z r</w:t>
            </w:r>
            <w:r>
              <w:rPr>
                <w:rFonts w:asciiTheme="minorHAnsi" w:hAnsiTheme="minorHAnsi" w:cstheme="minorHAnsi"/>
              </w:rPr>
              <w:t xml:space="preserve">ecyklingu oraz innych produktów </w:t>
            </w:r>
            <w:r w:rsidRPr="001E6981">
              <w:rPr>
                <w:rFonts w:asciiTheme="minorHAnsi" w:hAnsiTheme="minorHAnsi" w:cstheme="minorHAnsi"/>
              </w:rPr>
              <w:t>wyprodukowanych z materiałów biodegradowalnych</w:t>
            </w:r>
          </w:p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Nabycie komputera (zestaw: stacja, monitor, klawiatura, </w:t>
            </w:r>
            <w:r w:rsidRPr="00153DBC">
              <w:rPr>
                <w:rFonts w:asciiTheme="minorHAnsi" w:hAnsiTheme="minorHAnsi" w:cstheme="minorHAnsi"/>
              </w:rPr>
              <w:t>mysz, słuchawki, głośniki)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277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komputera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9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678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komputer posiada parametry biurowe z oprogramowaniem systemowym i podstawowym pakietem biurowym (licencja na 12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miesięcy).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2660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laptopa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1"/>
              <w:ind w:right="2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laptopa jest niezbędne w celu wspomagania zdalnego/niestacjonarnego/hybrydowego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laptop posiada parametry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biurowe.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3080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projektora multimedialnego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1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projektora multimedialnego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3260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766089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ekranu projekcyjnego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ekranu projekcyjnego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850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2303B2" w:rsidTr="00BA5C04">
        <w:trPr>
          <w:trHeight w:val="681"/>
        </w:trPr>
        <w:tc>
          <w:tcPr>
            <w:tcW w:w="562" w:type="dxa"/>
          </w:tcPr>
          <w:p w:rsidR="002303B2" w:rsidRDefault="002303B2" w:rsidP="002303B2">
            <w:pPr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303B2" w:rsidRPr="009A7C22" w:rsidRDefault="002303B2" w:rsidP="002303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Utworzenie wiązki składającej się z 10 zamkniętych, multimedialnych zadań egzaminacyjnych z określeniem wymagań ogólnych i szczegółowych z rozwiązaniem, zgodnych z podstawą programową, zasadami oceniania dla części pisemnej egzaminu zawodowego</w:t>
            </w:r>
          </w:p>
        </w:tc>
        <w:tc>
          <w:tcPr>
            <w:tcW w:w="5570" w:type="dxa"/>
            <w:vAlign w:val="center"/>
          </w:tcPr>
          <w:p w:rsidR="002303B2" w:rsidRDefault="002303B2" w:rsidP="002303B2">
            <w:pPr>
              <w:spacing w:before="120" w:after="120"/>
              <w:rPr>
                <w:rStyle w:val="ui-provider"/>
              </w:rPr>
            </w:pPr>
            <w:r>
              <w:rPr>
                <w:rFonts w:cstheme="minorHAnsi"/>
              </w:rPr>
              <w:t>D</w:t>
            </w:r>
            <w:r w:rsidRPr="00CB3B7B">
              <w:rPr>
                <w:rFonts w:cstheme="minorHAnsi"/>
              </w:rPr>
              <w:t>oświadczenie zawodowe w wykonywaniu lub nauczaniu danego zawodu</w:t>
            </w:r>
            <w:r>
              <w:rPr>
                <w:rFonts w:cstheme="minorHAnsi"/>
              </w:rPr>
              <w:t xml:space="preserve">. Doświadczenie w tworzeniu lub recenzowaniu zadań egzaminacyjnych. Umiejętność posługiwania się narzędziami do tworzenia zadań multimedialnych, tj. </w:t>
            </w:r>
            <w:r>
              <w:rPr>
                <w:rStyle w:val="ui-provider"/>
              </w:rPr>
              <w:t xml:space="preserve">nagrywania i prostej edycji (przycinanie, konwersja, zgrywanie na nośniki pamięci) krótkich filmów, minimum telefonem komórkowym. </w:t>
            </w:r>
            <w:r>
              <w:t xml:space="preserve"> P</w:t>
            </w:r>
            <w:r>
              <w:rPr>
                <w:rStyle w:val="ui-provider"/>
              </w:rPr>
              <w:t xml:space="preserve">osiada umiejętność obsługi programów komputerowych MS Word, Excel, obsługi poczty elektronicznej. </w:t>
            </w:r>
          </w:p>
          <w:p w:rsidR="002303B2" w:rsidRPr="00313FF2" w:rsidRDefault="002303B2" w:rsidP="002303B2">
            <w:pPr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2" w:rsidRPr="00313FF2" w:rsidRDefault="002303B2" w:rsidP="002303B2">
            <w:pPr>
              <w:jc w:val="center"/>
              <w:rPr>
                <w:rFonts w:cstheme="minorHAnsi"/>
              </w:rPr>
            </w:pPr>
            <w:r>
              <w:t>Cena rynkowa</w:t>
            </w:r>
          </w:p>
        </w:tc>
        <w:tc>
          <w:tcPr>
            <w:tcW w:w="2853" w:type="dxa"/>
            <w:vAlign w:val="center"/>
          </w:tcPr>
          <w:p w:rsidR="002303B2" w:rsidRPr="00313FF2" w:rsidRDefault="002303B2" w:rsidP="0023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2303B2" w:rsidTr="00BA5C04">
        <w:trPr>
          <w:trHeight w:val="697"/>
        </w:trPr>
        <w:tc>
          <w:tcPr>
            <w:tcW w:w="562" w:type="dxa"/>
          </w:tcPr>
          <w:p w:rsidR="002303B2" w:rsidRDefault="002303B2" w:rsidP="002303B2">
            <w:pPr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303B2" w:rsidRPr="00C56748" w:rsidRDefault="002303B2" w:rsidP="002303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Utworzenie 1 zadania praktycznego, w modelu, w którym dokumentacja lub rezultaty uzyskane są z wykorzystaniem komputera, </w:t>
            </w:r>
            <w:r>
              <w:rPr>
                <w:rFonts w:cstheme="minorHAnsi"/>
              </w:rPr>
              <w:br/>
              <w:t xml:space="preserve">wraz </w:t>
            </w:r>
            <w:r w:rsidRPr="000C2E3D">
              <w:rPr>
                <w:rFonts w:cstheme="minorHAnsi"/>
              </w:rPr>
              <w:t>z obudową (plan, zasady oceniania, wskazania dla ośrodków egzaminacyjnych dotyczące przygotowania stanowisk egzaminacyjnych do zadania praktycznego</w:t>
            </w:r>
            <w:r>
              <w:rPr>
                <w:rFonts w:cstheme="minorHAnsi"/>
              </w:rPr>
              <w:t xml:space="preserve">) oraz z wykonaniem próbnego zastosowania </w:t>
            </w:r>
          </w:p>
        </w:tc>
        <w:tc>
          <w:tcPr>
            <w:tcW w:w="5570" w:type="dxa"/>
            <w:vAlign w:val="center"/>
          </w:tcPr>
          <w:p w:rsidR="002303B2" w:rsidRDefault="002303B2" w:rsidP="002303B2">
            <w:pPr>
              <w:spacing w:before="120" w:after="120"/>
              <w:rPr>
                <w:rStyle w:val="ui-provider"/>
              </w:rPr>
            </w:pPr>
            <w:r>
              <w:rPr>
                <w:rFonts w:cstheme="minorHAnsi"/>
              </w:rPr>
              <w:t xml:space="preserve"> D</w:t>
            </w:r>
            <w:r w:rsidRPr="00CB3B7B">
              <w:rPr>
                <w:rFonts w:cstheme="minorHAnsi"/>
              </w:rPr>
              <w:t>oświadczenie zawodowe w wykonywaniu lub nauczaniu danego zawodu</w:t>
            </w:r>
            <w:r>
              <w:rPr>
                <w:rFonts w:cstheme="minorHAnsi"/>
              </w:rPr>
              <w:t>. Doświadczenie w tworzeniu lub recenzowaniu zadań egzaminacyjnych.</w:t>
            </w:r>
            <w:r>
              <w:rPr>
                <w:rStyle w:val="ui-provider"/>
              </w:rPr>
              <w:t xml:space="preserve"> </w:t>
            </w:r>
            <w:r>
              <w:t xml:space="preserve"> P</w:t>
            </w:r>
            <w:r>
              <w:rPr>
                <w:rStyle w:val="ui-provider"/>
              </w:rPr>
              <w:t xml:space="preserve">osiada umiejętność obsługi programów komputerowych MS Word, Excel, obsługi poczty elektronicznej. </w:t>
            </w:r>
          </w:p>
          <w:p w:rsidR="002303B2" w:rsidRPr="00C56748" w:rsidRDefault="002303B2" w:rsidP="002303B2">
            <w:pPr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2" w:rsidRPr="00C56748" w:rsidRDefault="002303B2" w:rsidP="002303B2">
            <w:pPr>
              <w:jc w:val="center"/>
              <w:rPr>
                <w:rFonts w:cstheme="minorHAnsi"/>
              </w:rPr>
            </w:pPr>
            <w:r>
              <w:t>Cena rynkowa</w:t>
            </w:r>
          </w:p>
        </w:tc>
        <w:tc>
          <w:tcPr>
            <w:tcW w:w="2853" w:type="dxa"/>
            <w:vAlign w:val="center"/>
          </w:tcPr>
          <w:p w:rsidR="002303B2" w:rsidRPr="00C56748" w:rsidRDefault="002303B2" w:rsidP="002303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2303B2" w:rsidTr="00BA5C04">
        <w:trPr>
          <w:trHeight w:val="693"/>
        </w:trPr>
        <w:tc>
          <w:tcPr>
            <w:tcW w:w="562" w:type="dxa"/>
          </w:tcPr>
          <w:p w:rsidR="002303B2" w:rsidRDefault="002303B2" w:rsidP="002303B2">
            <w:pPr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303B2" w:rsidRPr="00C56748" w:rsidRDefault="002303B2" w:rsidP="002303B2">
            <w:pPr>
              <w:rPr>
                <w:rFonts w:cstheme="minorHAnsi"/>
              </w:rPr>
            </w:pPr>
            <w:r>
              <w:rPr>
                <w:rFonts w:cstheme="minorHAnsi"/>
              </w:rPr>
              <w:t>Wynagrodzenie eksperta merytorycznego z zakresu IT (1h)</w:t>
            </w:r>
          </w:p>
        </w:tc>
        <w:tc>
          <w:tcPr>
            <w:tcW w:w="5570" w:type="dxa"/>
            <w:vAlign w:val="center"/>
          </w:tcPr>
          <w:p w:rsidR="002303B2" w:rsidRDefault="002303B2" w:rsidP="002303B2">
            <w:pPr>
              <w:spacing w:before="105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Doradztwo związane z technicznymi aspektami realizacji komponentów informatycznych powstających w ramach projektu. </w:t>
            </w:r>
          </w:p>
          <w:p w:rsidR="002303B2" w:rsidRDefault="002303B2" w:rsidP="002303B2">
            <w:pPr>
              <w:spacing w:before="105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Zgodność produktów wytwarzanych w ramach projektu z normami branżowymi i przepisami prawa oraz innymi wymaganiami na etapie realizacji projektu.</w:t>
            </w:r>
          </w:p>
          <w:p w:rsidR="002303B2" w:rsidRPr="00C56748" w:rsidRDefault="002303B2" w:rsidP="002303B2">
            <w:pPr>
              <w:spacing w:before="105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Doradztwo związane z przygotowywaniem opisów przedmiotu zamówienia w postępowaniach o udzielenie zamówienia publicznego oraz z reguły konkurencyjności.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2" w:rsidRPr="00C56748" w:rsidRDefault="002303B2" w:rsidP="002303B2">
            <w:pPr>
              <w:jc w:val="center"/>
              <w:rPr>
                <w:rFonts w:cstheme="minorHAnsi"/>
              </w:rPr>
            </w:pPr>
            <w:r>
              <w:t>Cena rynkowa</w:t>
            </w:r>
          </w:p>
        </w:tc>
        <w:tc>
          <w:tcPr>
            <w:tcW w:w="2853" w:type="dxa"/>
            <w:vAlign w:val="center"/>
          </w:tcPr>
          <w:p w:rsidR="002303B2" w:rsidRPr="00C56748" w:rsidRDefault="002303B2" w:rsidP="002303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1E6981" w:rsidRPr="001E6981" w:rsidRDefault="001E6981" w:rsidP="001E6981"/>
    <w:sectPr w:rsidR="001E6981" w:rsidRPr="001E6981" w:rsidSect="001E69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4F" w:rsidRDefault="00E35D4F" w:rsidP="001E6981">
      <w:r>
        <w:separator/>
      </w:r>
    </w:p>
  </w:endnote>
  <w:endnote w:type="continuationSeparator" w:id="0">
    <w:p w:rsidR="00E35D4F" w:rsidRDefault="00E35D4F" w:rsidP="001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4F" w:rsidRDefault="00E35D4F" w:rsidP="001E6981">
      <w:r>
        <w:separator/>
      </w:r>
    </w:p>
  </w:footnote>
  <w:footnote w:type="continuationSeparator" w:id="0">
    <w:p w:rsidR="00E35D4F" w:rsidRDefault="00E35D4F" w:rsidP="001E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81" w:rsidRDefault="001E6981" w:rsidP="001E6981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5985162F" wp14:editId="61B0FE09">
          <wp:extent cx="5781675" cy="581025"/>
          <wp:effectExtent l="0" t="0" r="0" b="0"/>
          <wp:docPr id="630984067" name="Obraz 630984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0C7"/>
    <w:multiLevelType w:val="hybridMultilevel"/>
    <w:tmpl w:val="92E280B8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CD2"/>
    <w:multiLevelType w:val="hybridMultilevel"/>
    <w:tmpl w:val="7946006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E1D"/>
    <w:multiLevelType w:val="hybridMultilevel"/>
    <w:tmpl w:val="C7E8BE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3" w15:restartNumberingAfterBreak="0">
    <w:nsid w:val="1747404E"/>
    <w:multiLevelType w:val="hybridMultilevel"/>
    <w:tmpl w:val="69601C5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FF6"/>
    <w:multiLevelType w:val="hybridMultilevel"/>
    <w:tmpl w:val="1818C3E8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5" w15:restartNumberingAfterBreak="0">
    <w:nsid w:val="21EF75CB"/>
    <w:multiLevelType w:val="hybridMultilevel"/>
    <w:tmpl w:val="53FC6FC4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6" w15:restartNumberingAfterBreak="0">
    <w:nsid w:val="28B01F6A"/>
    <w:multiLevelType w:val="multilevel"/>
    <w:tmpl w:val="B61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A67D28"/>
    <w:multiLevelType w:val="hybridMultilevel"/>
    <w:tmpl w:val="84F2A59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321"/>
    <w:multiLevelType w:val="hybridMultilevel"/>
    <w:tmpl w:val="89224A7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D89"/>
    <w:multiLevelType w:val="hybridMultilevel"/>
    <w:tmpl w:val="A80AF1B2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0" w15:restartNumberingAfterBreak="0">
    <w:nsid w:val="306F48B2"/>
    <w:multiLevelType w:val="hybridMultilevel"/>
    <w:tmpl w:val="2F6A4E4E"/>
    <w:lvl w:ilvl="0" w:tplc="86A4B4EC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FE8C5D4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58EF860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47EC7ACC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55F068F6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38988498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55D430D2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76D0835C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01EC2656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1" w15:restartNumberingAfterBreak="0">
    <w:nsid w:val="332F5CAD"/>
    <w:multiLevelType w:val="hybridMultilevel"/>
    <w:tmpl w:val="E07A5CE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2" w15:restartNumberingAfterBreak="0">
    <w:nsid w:val="380B3C0C"/>
    <w:multiLevelType w:val="hybridMultilevel"/>
    <w:tmpl w:val="9E128E12"/>
    <w:lvl w:ilvl="0" w:tplc="32A2E83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C9B4854"/>
    <w:multiLevelType w:val="hybridMultilevel"/>
    <w:tmpl w:val="E20C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F3AD8"/>
    <w:multiLevelType w:val="hybridMultilevel"/>
    <w:tmpl w:val="C40CBA38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5" w15:restartNumberingAfterBreak="0">
    <w:nsid w:val="4BA247D7"/>
    <w:multiLevelType w:val="hybridMultilevel"/>
    <w:tmpl w:val="9CA846B0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1A76"/>
    <w:multiLevelType w:val="hybridMultilevel"/>
    <w:tmpl w:val="BFA0F5B6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4280"/>
    <w:multiLevelType w:val="hybridMultilevel"/>
    <w:tmpl w:val="1950599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8" w15:restartNumberingAfterBreak="0">
    <w:nsid w:val="555A2B2F"/>
    <w:multiLevelType w:val="hybridMultilevel"/>
    <w:tmpl w:val="AF12D0A2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A2267"/>
    <w:multiLevelType w:val="hybridMultilevel"/>
    <w:tmpl w:val="FE2EB864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952D4"/>
    <w:multiLevelType w:val="hybridMultilevel"/>
    <w:tmpl w:val="73FAC820"/>
    <w:lvl w:ilvl="0" w:tplc="11B81F7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916FD"/>
    <w:multiLevelType w:val="hybridMultilevel"/>
    <w:tmpl w:val="E7C0516C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2" w15:restartNumberingAfterBreak="0">
    <w:nsid w:val="66AF1525"/>
    <w:multiLevelType w:val="hybridMultilevel"/>
    <w:tmpl w:val="EE5037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3" w15:restartNumberingAfterBreak="0">
    <w:nsid w:val="6D0075D4"/>
    <w:multiLevelType w:val="hybridMultilevel"/>
    <w:tmpl w:val="1BE2351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4" w15:restartNumberingAfterBreak="0">
    <w:nsid w:val="72434CC4"/>
    <w:multiLevelType w:val="hybridMultilevel"/>
    <w:tmpl w:val="887C7C76"/>
    <w:lvl w:ilvl="0" w:tplc="1CC288BA">
      <w:numFmt w:val="bullet"/>
      <w:lvlText w:val="-"/>
      <w:lvlJc w:val="left"/>
      <w:pPr>
        <w:ind w:left="103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580F96">
      <w:numFmt w:val="bullet"/>
      <w:lvlText w:val="•"/>
      <w:lvlJc w:val="left"/>
      <w:pPr>
        <w:ind w:left="375" w:hanging="117"/>
      </w:pPr>
      <w:rPr>
        <w:rFonts w:hint="default"/>
      </w:rPr>
    </w:lvl>
    <w:lvl w:ilvl="2" w:tplc="359C076E">
      <w:numFmt w:val="bullet"/>
      <w:lvlText w:val="•"/>
      <w:lvlJc w:val="left"/>
      <w:pPr>
        <w:ind w:left="650" w:hanging="117"/>
      </w:pPr>
      <w:rPr>
        <w:rFonts w:hint="default"/>
      </w:rPr>
    </w:lvl>
    <w:lvl w:ilvl="3" w:tplc="5B68265A">
      <w:numFmt w:val="bullet"/>
      <w:lvlText w:val="•"/>
      <w:lvlJc w:val="left"/>
      <w:pPr>
        <w:ind w:left="925" w:hanging="117"/>
      </w:pPr>
      <w:rPr>
        <w:rFonts w:hint="default"/>
      </w:rPr>
    </w:lvl>
    <w:lvl w:ilvl="4" w:tplc="C5C8251E">
      <w:numFmt w:val="bullet"/>
      <w:lvlText w:val="•"/>
      <w:lvlJc w:val="left"/>
      <w:pPr>
        <w:ind w:left="1200" w:hanging="117"/>
      </w:pPr>
      <w:rPr>
        <w:rFonts w:hint="default"/>
      </w:rPr>
    </w:lvl>
    <w:lvl w:ilvl="5" w:tplc="3C8EA33A">
      <w:numFmt w:val="bullet"/>
      <w:lvlText w:val="•"/>
      <w:lvlJc w:val="left"/>
      <w:pPr>
        <w:ind w:left="1475" w:hanging="117"/>
      </w:pPr>
      <w:rPr>
        <w:rFonts w:hint="default"/>
      </w:rPr>
    </w:lvl>
    <w:lvl w:ilvl="6" w:tplc="6338F558">
      <w:numFmt w:val="bullet"/>
      <w:lvlText w:val="•"/>
      <w:lvlJc w:val="left"/>
      <w:pPr>
        <w:ind w:left="1750" w:hanging="117"/>
      </w:pPr>
      <w:rPr>
        <w:rFonts w:hint="default"/>
      </w:rPr>
    </w:lvl>
    <w:lvl w:ilvl="7" w:tplc="B53C4F38">
      <w:numFmt w:val="bullet"/>
      <w:lvlText w:val="•"/>
      <w:lvlJc w:val="left"/>
      <w:pPr>
        <w:ind w:left="2025" w:hanging="117"/>
      </w:pPr>
      <w:rPr>
        <w:rFonts w:hint="default"/>
      </w:rPr>
    </w:lvl>
    <w:lvl w:ilvl="8" w:tplc="86D65CA2">
      <w:numFmt w:val="bullet"/>
      <w:lvlText w:val="•"/>
      <w:lvlJc w:val="left"/>
      <w:pPr>
        <w:ind w:left="2300" w:hanging="117"/>
      </w:pPr>
      <w:rPr>
        <w:rFonts w:hint="default"/>
      </w:rPr>
    </w:lvl>
  </w:abstractNum>
  <w:abstractNum w:abstractNumId="25" w15:restartNumberingAfterBreak="0">
    <w:nsid w:val="73CC34DA"/>
    <w:multiLevelType w:val="hybridMultilevel"/>
    <w:tmpl w:val="6C2C5690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6" w15:restartNumberingAfterBreak="0">
    <w:nsid w:val="77F83028"/>
    <w:multiLevelType w:val="hybridMultilevel"/>
    <w:tmpl w:val="6FA6BB5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6"/>
  </w:num>
  <w:num w:numId="8">
    <w:abstractNumId w:val="24"/>
  </w:num>
  <w:num w:numId="9">
    <w:abstractNumId w:val="4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8"/>
  </w:num>
  <w:num w:numId="15">
    <w:abstractNumId w:val="5"/>
  </w:num>
  <w:num w:numId="16">
    <w:abstractNumId w:val="22"/>
  </w:num>
  <w:num w:numId="17">
    <w:abstractNumId w:val="23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6"/>
  </w:num>
  <w:num w:numId="23">
    <w:abstractNumId w:val="16"/>
  </w:num>
  <w:num w:numId="24">
    <w:abstractNumId w:val="3"/>
  </w:num>
  <w:num w:numId="25">
    <w:abstractNumId w:val="19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F0"/>
    <w:rsid w:val="001E0A7A"/>
    <w:rsid w:val="001E6981"/>
    <w:rsid w:val="002303B2"/>
    <w:rsid w:val="00433089"/>
    <w:rsid w:val="00471793"/>
    <w:rsid w:val="0053761F"/>
    <w:rsid w:val="005A7A32"/>
    <w:rsid w:val="00766089"/>
    <w:rsid w:val="007D7807"/>
    <w:rsid w:val="00867F1A"/>
    <w:rsid w:val="009447F9"/>
    <w:rsid w:val="00C07978"/>
    <w:rsid w:val="00C33F27"/>
    <w:rsid w:val="00C409F0"/>
    <w:rsid w:val="00C70EBB"/>
    <w:rsid w:val="00CF45B9"/>
    <w:rsid w:val="00D050B8"/>
    <w:rsid w:val="00E35D4F"/>
    <w:rsid w:val="00F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52ABE-47D4-4166-8342-60DF90C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1E6981"/>
    <w:pPr>
      <w:spacing w:before="20"/>
      <w:ind w:left="40"/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981"/>
  </w:style>
  <w:style w:type="paragraph" w:styleId="Stopka">
    <w:name w:val="footer"/>
    <w:basedOn w:val="Normalny"/>
    <w:link w:val="Stopka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981"/>
  </w:style>
  <w:style w:type="table" w:styleId="Tabela-Siatka">
    <w:name w:val="Table Grid"/>
    <w:basedOn w:val="Standardowy"/>
    <w:uiPriority w:val="39"/>
    <w:rsid w:val="001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E6981"/>
    <w:pPr>
      <w:ind w:left="393"/>
    </w:pPr>
  </w:style>
  <w:style w:type="paragraph" w:styleId="Akapitzlist">
    <w:name w:val="List Paragraph"/>
    <w:basedOn w:val="Normalny"/>
    <w:uiPriority w:val="34"/>
    <w:qFormat/>
    <w:rsid w:val="001E69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6981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089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provider">
    <w:name w:val="ui-provider"/>
    <w:basedOn w:val="Domylnaczcionkaakapitu"/>
    <w:rsid w:val="0023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6551-C5CD-417E-96F0-4A250A99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Wnuk-Wojdat Aleksandra</cp:lastModifiedBy>
  <cp:revision>8</cp:revision>
  <dcterms:created xsi:type="dcterms:W3CDTF">2023-05-30T10:40:00Z</dcterms:created>
  <dcterms:modified xsi:type="dcterms:W3CDTF">2023-06-05T11:35:00Z</dcterms:modified>
</cp:coreProperties>
</file>