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AB9F" w14:textId="586BA43B" w:rsidR="00DF1C80" w:rsidRPr="00F33F73" w:rsidRDefault="00DF1C80" w:rsidP="00DF1C80">
      <w:pPr>
        <w:spacing w:before="240"/>
        <w:jc w:val="center"/>
        <w:outlineLvl w:val="0"/>
        <w:rPr>
          <w:rFonts w:ascii="Lato" w:hAnsi="Lato" w:cs="Arial"/>
          <w:b/>
        </w:rPr>
      </w:pPr>
      <w:r w:rsidRPr="00F33F73">
        <w:rPr>
          <w:rFonts w:ascii="Lato" w:hAnsi="Lato" w:cs="Arial"/>
          <w:b/>
        </w:rPr>
        <w:t xml:space="preserve">OPIS PRZEDMIOTU ZAMÓWIENIA (OPZ) </w:t>
      </w:r>
    </w:p>
    <w:p w14:paraId="76DAC8B4" w14:textId="77777777" w:rsidR="00DF1C80" w:rsidRPr="00F33F73" w:rsidRDefault="00DF1C80" w:rsidP="00DF1C80">
      <w:pPr>
        <w:spacing w:line="276" w:lineRule="auto"/>
        <w:jc w:val="center"/>
        <w:rPr>
          <w:rFonts w:ascii="Lato" w:hAnsi="Lato"/>
        </w:rPr>
      </w:pPr>
      <w:r w:rsidRPr="00F33F73">
        <w:rPr>
          <w:rFonts w:ascii="Lato" w:hAnsi="Lato"/>
        </w:rPr>
        <w:t>na działania promocyjne dotyczące projektów FERS</w:t>
      </w:r>
    </w:p>
    <w:p w14:paraId="42528858" w14:textId="77777777" w:rsidR="00DF1C80" w:rsidRPr="00F33F73" w:rsidRDefault="00DF1C80" w:rsidP="00DF1C80">
      <w:pPr>
        <w:spacing w:line="276" w:lineRule="auto"/>
        <w:rPr>
          <w:rFonts w:ascii="Lato" w:hAnsi="Lato"/>
        </w:rPr>
      </w:pPr>
    </w:p>
    <w:p w14:paraId="7345619F" w14:textId="77777777" w:rsidR="00DF1C80" w:rsidRPr="00F33F73" w:rsidRDefault="00DF1C8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 w:rsidRPr="00F33F73">
        <w:rPr>
          <w:rFonts w:ascii="Lato" w:hAnsi="Lato"/>
          <w:b/>
          <w:bCs/>
        </w:rPr>
        <w:t>Przedmiot zamówienia</w:t>
      </w:r>
    </w:p>
    <w:p w14:paraId="47BEFFCE" w14:textId="77777777" w:rsidR="00DF1C80" w:rsidRPr="00F33F73" w:rsidRDefault="00DF1C80" w:rsidP="00DF1C80">
      <w:pPr>
        <w:spacing w:line="276" w:lineRule="auto"/>
        <w:ind w:left="426"/>
        <w:rPr>
          <w:rFonts w:ascii="Lato" w:hAnsi="Lato"/>
        </w:rPr>
      </w:pPr>
      <w:r w:rsidRPr="00F33F73">
        <w:rPr>
          <w:rFonts w:ascii="Lato" w:hAnsi="Lato"/>
        </w:rPr>
        <w:t>Przedmiotem zamówienia jest wykonanie usługi (zwanej dalej „działaniami promocyjnymi”) polegającej na publikacji i promocji pięciu artykułów eksperckich, zwanych dalej „materiałami”, na ogólnopolskiej platformie internetowej i serwisach tematycznych, skoncentrowanych w szczególności na edukacji, propagowaniu wiedzy i rozwoju młodzieży szkolnej.</w:t>
      </w:r>
    </w:p>
    <w:p w14:paraId="0568632C" w14:textId="77777777" w:rsidR="00DF1C80" w:rsidRPr="00F33F73" w:rsidRDefault="00DF1C80" w:rsidP="00DF1C80">
      <w:pPr>
        <w:spacing w:line="276" w:lineRule="auto"/>
        <w:ind w:left="426"/>
        <w:rPr>
          <w:rFonts w:ascii="Lato" w:hAnsi="Lato"/>
        </w:rPr>
      </w:pPr>
      <w:r w:rsidRPr="00F33F73">
        <w:rPr>
          <w:rFonts w:ascii="Lato" w:hAnsi="Lato"/>
        </w:rPr>
        <w:t>Działania promocyjne dotyczą projektów realizowanych na podstawie umów zawartych przez beneficjentów z Instytucją Pośredniczącą - Ministrem Edukacji w ramach programu Fundusze Europejskie dla Rozwoju Społecznego.</w:t>
      </w:r>
    </w:p>
    <w:p w14:paraId="10B14097" w14:textId="77777777" w:rsidR="00DF1C80" w:rsidRPr="00F33F73" w:rsidRDefault="00DF1C8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 w:rsidRPr="00F33F73">
        <w:rPr>
          <w:rFonts w:ascii="Lato" w:hAnsi="Lato"/>
          <w:b/>
          <w:bCs/>
        </w:rPr>
        <w:t>Działania promocyjne  materiałów:</w:t>
      </w:r>
    </w:p>
    <w:p w14:paraId="7B079DC5" w14:textId="77777777" w:rsidR="00DF1C80" w:rsidRPr="00F33F73" w:rsidRDefault="00DF1C80" w:rsidP="00DF1C80">
      <w:pPr>
        <w:numPr>
          <w:ilvl w:val="0"/>
          <w:numId w:val="3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>Wykonawca realizując umowę uwzględni promocję marki Fundusze Europejskie jako marki parasolowej, zgodnie z dokumentem „Strategia komunikacji Funduszy Europejskich na lata 2021-2027</w:t>
      </w:r>
      <w:r w:rsidRPr="00F33F73">
        <w:rPr>
          <w:rFonts w:ascii="Lato" w:hAnsi="Lato"/>
          <w:vertAlign w:val="superscript"/>
        </w:rPr>
        <w:footnoteReference w:id="1"/>
      </w:r>
      <w:r w:rsidRPr="00F33F73">
        <w:rPr>
          <w:rFonts w:ascii="Lato" w:hAnsi="Lato"/>
        </w:rPr>
        <w:t>”.</w:t>
      </w:r>
    </w:p>
    <w:p w14:paraId="6E3C8241" w14:textId="77777777" w:rsidR="00DF1C80" w:rsidRPr="00F33F73" w:rsidRDefault="00DF1C80" w:rsidP="00DF1C80">
      <w:pPr>
        <w:numPr>
          <w:ilvl w:val="0"/>
          <w:numId w:val="3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 xml:space="preserve">Rozpoczęcie działań promocyjnych (publikacja na stronach internetowych) artykułów rozpocznie się </w:t>
      </w:r>
      <w:r w:rsidRPr="005C3C77">
        <w:rPr>
          <w:rFonts w:ascii="Lato" w:hAnsi="Lato"/>
        </w:rPr>
        <w:t>najpóźniej 5 dni roboczych licząc</w:t>
      </w:r>
      <w:r w:rsidRPr="00F33F73">
        <w:rPr>
          <w:rFonts w:ascii="Lato" w:hAnsi="Lato"/>
        </w:rPr>
        <w:t xml:space="preserve"> od dnia zawarcia umowy z Wykonawcą.</w:t>
      </w:r>
    </w:p>
    <w:p w14:paraId="225DE2D6" w14:textId="77777777" w:rsidR="00DF1C80" w:rsidRPr="00F33F73" w:rsidRDefault="00DF1C80" w:rsidP="00DF1C80">
      <w:pPr>
        <w:numPr>
          <w:ilvl w:val="0"/>
          <w:numId w:val="3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>Do każdego materiału powstanie 1 baner i 1 post (łącznie 5 banerów i 5 postów).</w:t>
      </w:r>
    </w:p>
    <w:p w14:paraId="06D402E3" w14:textId="77777777" w:rsidR="00DF1C80" w:rsidRPr="005C3C77" w:rsidRDefault="00DF1C80" w:rsidP="00DF1C80">
      <w:pPr>
        <w:numPr>
          <w:ilvl w:val="0"/>
          <w:numId w:val="3"/>
        </w:numPr>
        <w:spacing w:line="276" w:lineRule="auto"/>
        <w:ind w:left="851" w:hanging="425"/>
        <w:rPr>
          <w:rFonts w:ascii="Lato" w:hAnsi="Lato"/>
        </w:rPr>
      </w:pPr>
      <w:r w:rsidRPr="005C3C77">
        <w:rPr>
          <w:rFonts w:ascii="Lato" w:hAnsi="Lato"/>
        </w:rPr>
        <w:t>Czas promocji ww. działań: 10 dni.</w:t>
      </w:r>
    </w:p>
    <w:p w14:paraId="0E7F7B76" w14:textId="77777777" w:rsidR="00DF1C80" w:rsidRPr="00F33F73" w:rsidRDefault="00DF1C80" w:rsidP="00DF1C80">
      <w:pPr>
        <w:numPr>
          <w:ilvl w:val="0"/>
          <w:numId w:val="3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>Gwarantowane zasięgi:</w:t>
      </w:r>
    </w:p>
    <w:p w14:paraId="4BB00BCC" w14:textId="77777777" w:rsidR="00DF1C80" w:rsidRPr="00F33F73" w:rsidRDefault="00DF1C80" w:rsidP="00DF1C80">
      <w:pPr>
        <w:numPr>
          <w:ilvl w:val="0"/>
          <w:numId w:val="8"/>
        </w:numPr>
        <w:spacing w:line="276" w:lineRule="auto"/>
        <w:ind w:left="1134" w:hanging="284"/>
        <w:rPr>
          <w:rFonts w:ascii="Lato" w:hAnsi="Lato"/>
        </w:rPr>
      </w:pPr>
      <w:r w:rsidRPr="00F33F73">
        <w:rPr>
          <w:rFonts w:ascii="Lato" w:hAnsi="Lato"/>
        </w:rPr>
        <w:t>w przypadku promocji</w:t>
      </w:r>
      <w:r>
        <w:rPr>
          <w:rFonts w:ascii="Lato" w:hAnsi="Lato"/>
        </w:rPr>
        <w:t xml:space="preserve"> 1</w:t>
      </w:r>
      <w:r w:rsidRPr="00F33F73">
        <w:rPr>
          <w:rFonts w:ascii="Lato" w:hAnsi="Lato"/>
        </w:rPr>
        <w:t xml:space="preserve"> </w:t>
      </w:r>
      <w:r>
        <w:rPr>
          <w:rFonts w:ascii="Lato" w:hAnsi="Lato"/>
        </w:rPr>
        <w:t xml:space="preserve">wybranego </w:t>
      </w:r>
      <w:r w:rsidRPr="00F33F73">
        <w:rPr>
          <w:rFonts w:ascii="Lato" w:hAnsi="Lato"/>
        </w:rPr>
        <w:t>materiał</w:t>
      </w:r>
      <w:r>
        <w:rPr>
          <w:rFonts w:ascii="Lato" w:hAnsi="Lato"/>
        </w:rPr>
        <w:t>u</w:t>
      </w:r>
      <w:r w:rsidRPr="00F33F73">
        <w:rPr>
          <w:rFonts w:ascii="Lato" w:hAnsi="Lato"/>
        </w:rPr>
        <w:t xml:space="preserve"> dla szerokiego odbiorcy, w mediach ogólnopolskich:</w:t>
      </w:r>
    </w:p>
    <w:p w14:paraId="3BC17836" w14:textId="77777777" w:rsidR="00DF1C80" w:rsidRPr="003C4CA6" w:rsidRDefault="00DF1C80" w:rsidP="00DF1C80">
      <w:pPr>
        <w:numPr>
          <w:ilvl w:val="0"/>
          <w:numId w:val="4"/>
        </w:numPr>
        <w:spacing w:line="276" w:lineRule="auto"/>
        <w:ind w:left="1418" w:hanging="284"/>
        <w:rPr>
          <w:rFonts w:ascii="Lato" w:hAnsi="Lato"/>
        </w:rPr>
      </w:pPr>
      <w:r w:rsidRPr="003C4CA6">
        <w:rPr>
          <w:rFonts w:ascii="Lato" w:hAnsi="Lato"/>
        </w:rPr>
        <w:t>15 000 unikalnych użytkowników;</w:t>
      </w:r>
    </w:p>
    <w:p w14:paraId="082D8710" w14:textId="77777777" w:rsidR="00DF1C80" w:rsidRPr="00F33F73" w:rsidRDefault="00DF1C80" w:rsidP="00DF1C80">
      <w:pPr>
        <w:numPr>
          <w:ilvl w:val="0"/>
          <w:numId w:val="4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>promocja artykułu w dniu jego publikacji w newsletterze danego medium - baza minimum 80 000 subskrybentów (open rate min. 30%);</w:t>
      </w:r>
    </w:p>
    <w:p w14:paraId="55A32350" w14:textId="77777777" w:rsidR="00DF1C80" w:rsidRPr="00F33F73" w:rsidRDefault="00DF1C80" w:rsidP="00DF1C80">
      <w:pPr>
        <w:numPr>
          <w:ilvl w:val="0"/>
          <w:numId w:val="4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>baner na stronie serwisu kierujący do danego materiału – dostęp otwarty dla wszystkich czytelników serwisu;</w:t>
      </w:r>
    </w:p>
    <w:p w14:paraId="6E8E9E3C" w14:textId="77777777" w:rsidR="00DF1C80" w:rsidRPr="00F33F73" w:rsidRDefault="00DF1C80" w:rsidP="00DF1C80">
      <w:pPr>
        <w:numPr>
          <w:ilvl w:val="0"/>
          <w:numId w:val="9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 xml:space="preserve">gwarantowana liczba odsłon dla każdego banera promocyjnego: </w:t>
      </w:r>
      <w:r>
        <w:rPr>
          <w:rFonts w:ascii="Lato" w:hAnsi="Lato"/>
        </w:rPr>
        <w:t>5</w:t>
      </w:r>
      <w:r w:rsidRPr="00F33F73">
        <w:rPr>
          <w:rFonts w:ascii="Lato" w:hAnsi="Lato"/>
        </w:rPr>
        <w:t xml:space="preserve"> 000</w:t>
      </w:r>
    </w:p>
    <w:p w14:paraId="70594C65" w14:textId="0A2FD26F" w:rsidR="00DF1C80" w:rsidRPr="00F33F73" w:rsidRDefault="00DF1C80" w:rsidP="00DF1C80">
      <w:pPr>
        <w:numPr>
          <w:ilvl w:val="0"/>
          <w:numId w:val="9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 xml:space="preserve">gwarantowana liczba followersów </w:t>
      </w:r>
      <w:r>
        <w:rPr>
          <w:rFonts w:ascii="Lato" w:hAnsi="Lato"/>
        </w:rPr>
        <w:t xml:space="preserve">funpage’a, na którym publikowany jest </w:t>
      </w:r>
      <w:r w:rsidRPr="00F33F73">
        <w:rPr>
          <w:rFonts w:ascii="Lato" w:hAnsi="Lato"/>
        </w:rPr>
        <w:t>post:</w:t>
      </w:r>
      <w:r w:rsidR="003F4AD3">
        <w:rPr>
          <w:rFonts w:ascii="Lato" w:hAnsi="Lato"/>
        </w:rPr>
        <w:t xml:space="preserve"> </w:t>
      </w:r>
      <w:r w:rsidRPr="00F33F73">
        <w:rPr>
          <w:rFonts w:ascii="Lato" w:hAnsi="Lato"/>
        </w:rPr>
        <w:t>750 000</w:t>
      </w:r>
    </w:p>
    <w:p w14:paraId="2CD4AE69" w14:textId="77777777" w:rsidR="00DF1C80" w:rsidRPr="00F33F73" w:rsidRDefault="00DF1C80" w:rsidP="00DF1C80">
      <w:pPr>
        <w:numPr>
          <w:ilvl w:val="0"/>
          <w:numId w:val="9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>capping: 3</w:t>
      </w:r>
    </w:p>
    <w:p w14:paraId="7633C563" w14:textId="77777777" w:rsidR="00DF1C80" w:rsidRPr="00F33F73" w:rsidRDefault="00DF1C80" w:rsidP="00DF1C80">
      <w:pPr>
        <w:numPr>
          <w:ilvl w:val="0"/>
          <w:numId w:val="8"/>
        </w:numPr>
        <w:spacing w:line="276" w:lineRule="auto"/>
        <w:ind w:left="1134" w:hanging="284"/>
        <w:rPr>
          <w:rFonts w:ascii="Lato" w:hAnsi="Lato"/>
        </w:rPr>
      </w:pPr>
      <w:r w:rsidRPr="00F33F73">
        <w:rPr>
          <w:rFonts w:ascii="Lato" w:hAnsi="Lato"/>
        </w:rPr>
        <w:t xml:space="preserve">w przypadku promocji materiałów dla sektora oświaty (dyrektorzy szkół, pracownicy samorządu terytorialnego) w mediach branżowych: </w:t>
      </w:r>
    </w:p>
    <w:p w14:paraId="3B285F9A" w14:textId="77777777" w:rsidR="00DF1C80" w:rsidRPr="00D603D5" w:rsidRDefault="00DF1C80" w:rsidP="00DF1C80">
      <w:pPr>
        <w:numPr>
          <w:ilvl w:val="0"/>
          <w:numId w:val="10"/>
        </w:numPr>
        <w:spacing w:line="276" w:lineRule="auto"/>
        <w:ind w:left="1418" w:hanging="284"/>
        <w:rPr>
          <w:rFonts w:ascii="Lato" w:hAnsi="Lato"/>
        </w:rPr>
      </w:pPr>
      <w:r w:rsidRPr="00D603D5">
        <w:rPr>
          <w:rFonts w:ascii="Lato" w:hAnsi="Lato"/>
        </w:rPr>
        <w:t>Serwis PAP samorząd lub Portal Oświatowy</w:t>
      </w:r>
    </w:p>
    <w:p w14:paraId="16E85B82" w14:textId="77777777" w:rsidR="00DF1C80" w:rsidRPr="00F33F73" w:rsidRDefault="00DF1C80" w:rsidP="00DF1C80">
      <w:pPr>
        <w:numPr>
          <w:ilvl w:val="0"/>
          <w:numId w:val="10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>dla każdego artykułu: 20 000 unikalnych użytkowników;</w:t>
      </w:r>
    </w:p>
    <w:p w14:paraId="6B0B456B" w14:textId="77777777" w:rsidR="00DF1C80" w:rsidRPr="00F33F73" w:rsidRDefault="00DF1C80" w:rsidP="00DF1C80">
      <w:pPr>
        <w:numPr>
          <w:ilvl w:val="0"/>
          <w:numId w:val="10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>promocja każdego artykułu w dniu jego publikacji w newsletterze danego medium - baza minimum 15 000 subskrybentów (open rate min.</w:t>
      </w:r>
      <w:r>
        <w:rPr>
          <w:rFonts w:ascii="Lato" w:hAnsi="Lato"/>
        </w:rPr>
        <w:t xml:space="preserve"> </w:t>
      </w:r>
      <w:r w:rsidRPr="00F33F73">
        <w:rPr>
          <w:rFonts w:ascii="Lato" w:hAnsi="Lato"/>
        </w:rPr>
        <w:t>30%);</w:t>
      </w:r>
    </w:p>
    <w:p w14:paraId="2A7306BE" w14:textId="77777777" w:rsidR="00DF1C80" w:rsidRPr="00F33F73" w:rsidRDefault="00DF1C80" w:rsidP="00DF1C80">
      <w:pPr>
        <w:numPr>
          <w:ilvl w:val="0"/>
          <w:numId w:val="10"/>
        </w:numPr>
        <w:spacing w:line="276" w:lineRule="auto"/>
        <w:ind w:left="1418" w:hanging="284"/>
        <w:rPr>
          <w:rFonts w:ascii="Lato" w:hAnsi="Lato"/>
        </w:rPr>
      </w:pPr>
      <w:r w:rsidRPr="00F33F73">
        <w:rPr>
          <w:rFonts w:ascii="Lato" w:hAnsi="Lato"/>
        </w:rPr>
        <w:t>baner na stronie serwisu kierujący do danego materiału – dostęp otwarty dla wszystkich czytelników serwisu.</w:t>
      </w:r>
    </w:p>
    <w:p w14:paraId="19D67E05" w14:textId="77777777" w:rsidR="00DF1C80" w:rsidRPr="00F33F73" w:rsidRDefault="00DF1C8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 w:rsidRPr="00F33F73">
        <w:rPr>
          <w:rFonts w:ascii="Lato" w:hAnsi="Lato"/>
          <w:b/>
          <w:bCs/>
        </w:rPr>
        <w:t>Lokalizacja działań promocyjnych</w:t>
      </w:r>
    </w:p>
    <w:p w14:paraId="54AD34DF" w14:textId="0F820613" w:rsidR="00DF1C80" w:rsidRPr="00F33F73" w:rsidRDefault="00DF1C80" w:rsidP="00DF1C80">
      <w:pPr>
        <w:spacing w:line="276" w:lineRule="auto"/>
        <w:ind w:left="426"/>
        <w:rPr>
          <w:rFonts w:ascii="Lato" w:hAnsi="Lato"/>
        </w:rPr>
      </w:pPr>
      <w:r w:rsidRPr="00F33F73">
        <w:rPr>
          <w:rFonts w:ascii="Lato" w:hAnsi="Lato"/>
        </w:rPr>
        <w:t xml:space="preserve">Ogólnopolska platforma internetowa oraz serwisy tematyczne, w szczególności dedykowane edukacji, propagowaniu wiedzy i rozwoju młodzieży szkolnej, gwarantująca zasięg co najmniej </w:t>
      </w:r>
      <w:r w:rsidR="003F4AD3">
        <w:rPr>
          <w:rFonts w:ascii="Lato" w:hAnsi="Lato"/>
        </w:rPr>
        <w:t>3</w:t>
      </w:r>
      <w:r w:rsidRPr="00F33F73">
        <w:rPr>
          <w:rFonts w:ascii="Lato" w:hAnsi="Lato"/>
        </w:rPr>
        <w:t>0% i</w:t>
      </w:r>
      <w:r>
        <w:rPr>
          <w:rFonts w:ascii="Lato" w:hAnsi="Lato"/>
        </w:rPr>
        <w:t> </w:t>
      </w:r>
      <w:r w:rsidR="003F4AD3">
        <w:rPr>
          <w:rFonts w:ascii="Lato" w:hAnsi="Lato"/>
        </w:rPr>
        <w:t>7</w:t>
      </w:r>
      <w:r w:rsidR="00927331">
        <w:rPr>
          <w:rFonts w:ascii="Lato" w:hAnsi="Lato"/>
        </w:rPr>
        <w:t xml:space="preserve"> mln</w:t>
      </w:r>
      <w:r w:rsidRPr="00F33F73">
        <w:rPr>
          <w:rFonts w:ascii="Lato" w:hAnsi="Lato"/>
        </w:rPr>
        <w:t xml:space="preserve"> unikalnych użytkowników.</w:t>
      </w:r>
    </w:p>
    <w:p w14:paraId="13D22B8D" w14:textId="77777777" w:rsidR="00DF1C80" w:rsidRPr="00F33F73" w:rsidRDefault="00DF1C80" w:rsidP="00DF1C80">
      <w:pPr>
        <w:spacing w:line="276" w:lineRule="auto"/>
        <w:ind w:left="426"/>
        <w:rPr>
          <w:rFonts w:ascii="Lato" w:hAnsi="Lato"/>
        </w:rPr>
      </w:pPr>
      <w:r w:rsidRPr="00F33F73">
        <w:rPr>
          <w:rFonts w:ascii="Lato" w:hAnsi="Lato"/>
        </w:rPr>
        <w:t>Serwisy tematyczne, w szczególności dedykowane zarządzaniu oświatą, problemom samorządu terytorialnego i edukacji, gwarantujące zasięg co najmniej 50% i min. 20 000 unikalnych użytkowników.</w:t>
      </w:r>
    </w:p>
    <w:p w14:paraId="00DD8037" w14:textId="77777777" w:rsidR="00DF1C80" w:rsidRPr="00F33F73" w:rsidRDefault="00DF1C80" w:rsidP="00DF1C80">
      <w:pPr>
        <w:spacing w:line="276" w:lineRule="auto"/>
        <w:ind w:left="426"/>
        <w:rPr>
          <w:rFonts w:ascii="Lato" w:hAnsi="Lato"/>
        </w:rPr>
      </w:pPr>
      <w:r w:rsidRPr="00F33F73">
        <w:rPr>
          <w:rFonts w:ascii="Lato" w:hAnsi="Lato"/>
        </w:rPr>
        <w:t xml:space="preserve">Zamawiający zastrzega sobie prawo do ostatecznej decyzji w wyborze platformy do promocji każdego z materiałów - wybór platformy powinien odzwierciedlać profil jej użytkowników oraz ich potrzeby informacyjne. Treści eksperckie, związane z promowaniem narzędzi wspierających </w:t>
      </w:r>
      <w:r w:rsidRPr="00F33F73">
        <w:rPr>
          <w:rFonts w:ascii="Lato" w:hAnsi="Lato"/>
        </w:rPr>
        <w:lastRenderedPageBreak/>
        <w:t>zarządzanie oświatą powinny być promowane na portalach tematycznych, które gromadzą głównie dyrektorów szkół, nauczycieli i samorządowców.</w:t>
      </w:r>
    </w:p>
    <w:p w14:paraId="4C8C761A" w14:textId="77777777" w:rsidR="00DF1C80" w:rsidRPr="00F33F73" w:rsidRDefault="00DF1C8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 w:rsidRPr="00F33F73">
        <w:rPr>
          <w:rFonts w:ascii="Lato" w:hAnsi="Lato"/>
          <w:b/>
          <w:bCs/>
        </w:rPr>
        <w:t>Opis działań promocyjnych</w:t>
      </w:r>
    </w:p>
    <w:p w14:paraId="439B9F29" w14:textId="77777777" w:rsidR="00DF1C80" w:rsidRPr="00F33F73" w:rsidRDefault="00DF1C80" w:rsidP="00DF1C80">
      <w:pPr>
        <w:numPr>
          <w:ilvl w:val="0"/>
          <w:numId w:val="2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 xml:space="preserve">Pięć artykułów eksperckich – </w:t>
      </w:r>
      <w:r w:rsidRPr="00F33F73">
        <w:rPr>
          <w:rFonts w:ascii="Lato" w:hAnsi="Lato"/>
          <w:bCs/>
          <w:iCs/>
        </w:rPr>
        <w:t>korekta i redakcja dostarczonych przez Zamawiającego artykułów, od 2 tys. do 3 tys. znaków; dobór i zakup zdjęć lub przygotowanie grafik przez Wykonawcę</w:t>
      </w:r>
      <w:r w:rsidRPr="00F33F73">
        <w:rPr>
          <w:rFonts w:ascii="Lato" w:hAnsi="Lato"/>
        </w:rPr>
        <w:t>.</w:t>
      </w:r>
    </w:p>
    <w:p w14:paraId="4435B36C" w14:textId="77777777" w:rsidR="00DF1C80" w:rsidRPr="00F33F73" w:rsidRDefault="00DF1C80" w:rsidP="00DF1C80">
      <w:pPr>
        <w:numPr>
          <w:ilvl w:val="0"/>
          <w:numId w:val="2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>Banery – poszczególne banery na stronach serwisu kierujące do materiału, dostęp otwarty dla wszystkich czytelników serwisu. Zamawiający preferuje następujące formaty do wyboru:</w:t>
      </w:r>
    </w:p>
    <w:p w14:paraId="5B3113AB" w14:textId="77777777" w:rsidR="00DF1C80" w:rsidRPr="00F33F73" w:rsidRDefault="00DF1C80" w:rsidP="00DF1C80">
      <w:pPr>
        <w:numPr>
          <w:ilvl w:val="0"/>
          <w:numId w:val="6"/>
        </w:numPr>
        <w:spacing w:line="276" w:lineRule="auto"/>
        <w:ind w:left="1134" w:hanging="283"/>
        <w:rPr>
          <w:rFonts w:ascii="Lato" w:hAnsi="Lato"/>
        </w:rPr>
      </w:pPr>
      <w:r w:rsidRPr="00F33F73">
        <w:rPr>
          <w:rFonts w:ascii="Lato" w:hAnsi="Lato"/>
        </w:rPr>
        <w:t>duży prostokąt (rozmiar reklamy ok. 336×280),</w:t>
      </w:r>
    </w:p>
    <w:p w14:paraId="04CC745F" w14:textId="77777777" w:rsidR="00DF1C80" w:rsidRPr="00F33F73" w:rsidRDefault="00DF1C80" w:rsidP="00DF1C80">
      <w:pPr>
        <w:numPr>
          <w:ilvl w:val="0"/>
          <w:numId w:val="6"/>
        </w:numPr>
        <w:spacing w:line="276" w:lineRule="auto"/>
        <w:ind w:left="1134" w:hanging="283"/>
        <w:rPr>
          <w:rFonts w:ascii="Lato" w:hAnsi="Lato"/>
        </w:rPr>
      </w:pPr>
      <w:r w:rsidRPr="00F33F73">
        <w:rPr>
          <w:rFonts w:ascii="Lato" w:hAnsi="Lato"/>
        </w:rPr>
        <w:t>baner poziomy (rozmiar reklamy ok. 728×90),</w:t>
      </w:r>
    </w:p>
    <w:p w14:paraId="32990D8B" w14:textId="77777777" w:rsidR="00DF1C80" w:rsidRPr="00F33F73" w:rsidRDefault="00DF1C80" w:rsidP="00DF1C80">
      <w:pPr>
        <w:numPr>
          <w:ilvl w:val="0"/>
          <w:numId w:val="6"/>
        </w:numPr>
        <w:spacing w:line="276" w:lineRule="auto"/>
        <w:ind w:left="1134" w:hanging="283"/>
        <w:rPr>
          <w:rFonts w:ascii="Lato" w:hAnsi="Lato"/>
        </w:rPr>
      </w:pPr>
      <w:r w:rsidRPr="00F33F73">
        <w:rPr>
          <w:rFonts w:ascii="Lato" w:hAnsi="Lato"/>
        </w:rPr>
        <w:t>billboard (rozmiar reklamy ok. 970×250),</w:t>
      </w:r>
    </w:p>
    <w:p w14:paraId="34A96DB4" w14:textId="77777777" w:rsidR="00DF1C80" w:rsidRPr="00F33F73" w:rsidRDefault="00DF1C80" w:rsidP="00DF1C80">
      <w:pPr>
        <w:numPr>
          <w:ilvl w:val="0"/>
          <w:numId w:val="7"/>
        </w:numPr>
        <w:spacing w:line="276" w:lineRule="auto"/>
        <w:ind w:left="1134" w:hanging="283"/>
        <w:rPr>
          <w:rFonts w:ascii="Lato" w:hAnsi="Lato"/>
        </w:rPr>
      </w:pPr>
      <w:r w:rsidRPr="00F33F73">
        <w:rPr>
          <w:rFonts w:ascii="Lato" w:hAnsi="Lato"/>
        </w:rPr>
        <w:t>formaty banerów zostaną ostatecznie ustalone pomiędzy Zamawiającym i Wykonawcą po zawarciu umowy i będą uzależnione od rodzaju contentu i koncepcji Wykonawcy,</w:t>
      </w:r>
    </w:p>
    <w:p w14:paraId="62E274EB" w14:textId="77777777" w:rsidR="00DF1C80" w:rsidRPr="00F33F73" w:rsidRDefault="00DF1C80" w:rsidP="00DF1C80">
      <w:pPr>
        <w:numPr>
          <w:ilvl w:val="0"/>
          <w:numId w:val="7"/>
        </w:numPr>
        <w:spacing w:line="276" w:lineRule="auto"/>
        <w:ind w:left="1134" w:hanging="283"/>
        <w:rPr>
          <w:rFonts w:ascii="Lato" w:hAnsi="Lato"/>
        </w:rPr>
      </w:pPr>
      <w:r w:rsidRPr="00F33F73">
        <w:rPr>
          <w:rFonts w:ascii="Lato" w:hAnsi="Lato"/>
        </w:rPr>
        <w:t>publikacja poszczególnych banerów nastąpi w dniu publikacji danego materiału.</w:t>
      </w:r>
    </w:p>
    <w:p w14:paraId="24AC561B" w14:textId="77777777" w:rsidR="00DF1C80" w:rsidRPr="00F33F73" w:rsidRDefault="00DF1C80" w:rsidP="00DF1C80">
      <w:pPr>
        <w:numPr>
          <w:ilvl w:val="0"/>
          <w:numId w:val="2"/>
        </w:numPr>
        <w:spacing w:line="276" w:lineRule="auto"/>
        <w:ind w:left="851" w:hanging="425"/>
        <w:rPr>
          <w:rFonts w:ascii="Lato" w:hAnsi="Lato"/>
        </w:rPr>
      </w:pPr>
      <w:r w:rsidRPr="00F33F73">
        <w:rPr>
          <w:rFonts w:ascii="Lato" w:hAnsi="Lato"/>
        </w:rPr>
        <w:t>Posty – publikacja 1 postu sponsorowanego (wraz z materiałem graficznym) do każdego materiału na funpage’u serwisu w dniu publikacji materiału.</w:t>
      </w:r>
    </w:p>
    <w:p w14:paraId="02701185" w14:textId="77777777" w:rsidR="00DF1C80" w:rsidRPr="00F33F73" w:rsidRDefault="00DF1C8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 w:rsidRPr="00F33F73">
        <w:rPr>
          <w:rFonts w:ascii="Lato" w:hAnsi="Lato"/>
          <w:b/>
          <w:bCs/>
        </w:rPr>
        <w:t>Oznakowanie działań promocyjnych</w:t>
      </w:r>
    </w:p>
    <w:p w14:paraId="205CC847" w14:textId="77777777" w:rsidR="00DF1C80" w:rsidRPr="00F33F73" w:rsidRDefault="00DF1C80" w:rsidP="00DF1C80">
      <w:pPr>
        <w:spacing w:line="276" w:lineRule="auto"/>
        <w:ind w:left="426"/>
        <w:rPr>
          <w:rFonts w:ascii="Lato" w:hAnsi="Lato"/>
        </w:rPr>
      </w:pPr>
      <w:r w:rsidRPr="00F33F73">
        <w:rPr>
          <w:rFonts w:ascii="Lato" w:hAnsi="Lato"/>
        </w:rPr>
        <w:t>Zamawiający zobowiązuje się do przekazania Wykonawcy niezbędnych logotypów oraz Księgi Tożsamości Wizualnej marki Fundusze Europejskie 2021</w:t>
      </w:r>
      <w:r w:rsidRPr="00F33F73">
        <w:rPr>
          <w:rFonts w:ascii="Arial" w:hAnsi="Arial" w:cs="Arial"/>
        </w:rPr>
        <w:t> </w:t>
      </w:r>
      <w:r w:rsidRPr="00F33F73">
        <w:rPr>
          <w:rFonts w:ascii="Lato" w:hAnsi="Lato" w:cs="Lato"/>
        </w:rPr>
        <w:t>–</w:t>
      </w:r>
      <w:r w:rsidRPr="00F33F73">
        <w:rPr>
          <w:rFonts w:ascii="Arial" w:hAnsi="Arial" w:cs="Arial"/>
        </w:rPr>
        <w:t> </w:t>
      </w:r>
      <w:r w:rsidRPr="00F33F73">
        <w:rPr>
          <w:rFonts w:ascii="Lato" w:hAnsi="Lato"/>
        </w:rPr>
        <w:t>2027</w:t>
      </w:r>
      <w:r w:rsidRPr="00F33F73">
        <w:rPr>
          <w:rFonts w:ascii="Lato" w:hAnsi="Lato"/>
          <w:vertAlign w:val="superscript"/>
        </w:rPr>
        <w:footnoteReference w:id="2"/>
      </w:r>
      <w:r w:rsidRPr="00F33F73">
        <w:rPr>
          <w:rFonts w:ascii="Lato" w:hAnsi="Lato"/>
        </w:rPr>
        <w:t xml:space="preserve"> w trybie roboczym niezwłocznie po zawarciu umowy. Wykonawca zobowiązuje się do oznaczenia wszystkich wytworzonych materiałów i dokumentów zgodnie z zasadami wskazanymi w Księdze Tożsamości Wizualnej.</w:t>
      </w:r>
    </w:p>
    <w:p w14:paraId="227BFEAC" w14:textId="77777777" w:rsidR="00DF1C80" w:rsidRPr="00F33F73" w:rsidRDefault="00DF1C8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 w:rsidRPr="00F33F73">
        <w:rPr>
          <w:rFonts w:ascii="Lato" w:hAnsi="Lato"/>
          <w:b/>
          <w:bCs/>
        </w:rPr>
        <w:t>Obowiązki Wykonawcy dot. dostępności przy realizacji Zamówienia</w:t>
      </w:r>
    </w:p>
    <w:p w14:paraId="09E5E3C8" w14:textId="77777777" w:rsidR="00DF1C80" w:rsidRPr="00F33F73" w:rsidRDefault="00DF1C80" w:rsidP="00DF1C80">
      <w:pPr>
        <w:numPr>
          <w:ilvl w:val="0"/>
          <w:numId w:val="5"/>
        </w:numPr>
        <w:spacing w:line="276" w:lineRule="auto"/>
        <w:ind w:left="851" w:hanging="425"/>
        <w:rPr>
          <w:rFonts w:ascii="Lato" w:hAnsi="Lato"/>
          <w:bCs/>
        </w:rPr>
      </w:pPr>
      <w:r w:rsidRPr="00F33F73">
        <w:rPr>
          <w:rFonts w:ascii="Lato" w:hAnsi="Lato"/>
          <w:bCs/>
        </w:rPr>
        <w:t>Zamawiający wymaga, aby wszystkie działania i materiały powstałe w ramach Zamówienia były dostosowane do obecnie obowiązujących przepisów ustawy z dnia 4 kwietnia 2019 r. o dostępności cyfrowej stron internetowych i aplikacji mobilnych podmiotów publicznych (Dz. U. z 2023 r. poz. 1440) oraz ustawy z dnia 19 lipca 2019 r. o zapewnianiu dostępności osobom ze szczególnymi potrzebami (Dz. U. z 2024 r. poz. 1411).</w:t>
      </w:r>
    </w:p>
    <w:p w14:paraId="53601438" w14:textId="77777777" w:rsidR="00DF1C80" w:rsidRPr="00F33F73" w:rsidRDefault="00DF1C80" w:rsidP="00DF1C80">
      <w:pPr>
        <w:numPr>
          <w:ilvl w:val="0"/>
          <w:numId w:val="5"/>
        </w:numPr>
        <w:spacing w:line="276" w:lineRule="auto"/>
        <w:ind w:left="851" w:hanging="425"/>
        <w:rPr>
          <w:rFonts w:ascii="Lato" w:hAnsi="Lato"/>
          <w:bCs/>
        </w:rPr>
      </w:pPr>
      <w:r w:rsidRPr="00F33F73">
        <w:rPr>
          <w:rFonts w:ascii="Lato" w:hAnsi="Lato"/>
          <w:bCs/>
        </w:rPr>
        <w:t>Brak zapewnienia dostępności, o którym mowa w pkt 1) stanowi nienależyte wykonanie Zamówienia.</w:t>
      </w:r>
    </w:p>
    <w:p w14:paraId="27F49AC3" w14:textId="77777777" w:rsidR="00DF1C80" w:rsidRPr="00F33F73" w:rsidRDefault="00DF1C80" w:rsidP="00DF1C80">
      <w:pPr>
        <w:numPr>
          <w:ilvl w:val="0"/>
          <w:numId w:val="5"/>
        </w:numPr>
        <w:spacing w:line="276" w:lineRule="auto"/>
        <w:ind w:left="851" w:hanging="425"/>
        <w:rPr>
          <w:rFonts w:ascii="Lato" w:hAnsi="Lato"/>
          <w:bCs/>
        </w:rPr>
      </w:pPr>
      <w:r w:rsidRPr="00F33F73">
        <w:rPr>
          <w:rFonts w:ascii="Lato" w:hAnsi="Lato"/>
          <w:bCs/>
        </w:rPr>
        <w:t>W celu prawidłowego zapewnienia dostępności, Wykonawca zobowiązany jest co najmniej do stosowania rozwiązań opisanych w poradniku „Jak wdrażać Ustawę o zapewnianiu dostępności?”</w:t>
      </w:r>
      <w:r w:rsidRPr="00F33F73">
        <w:rPr>
          <w:rFonts w:ascii="Lato" w:hAnsi="Lato"/>
          <w:bCs/>
          <w:vertAlign w:val="superscript"/>
        </w:rPr>
        <w:footnoteReference w:id="3"/>
      </w:r>
      <w:r w:rsidRPr="00F33F73">
        <w:rPr>
          <w:rFonts w:ascii="Lato" w:hAnsi="Lato"/>
          <w:bCs/>
        </w:rPr>
        <w:t xml:space="preserve"> oraz publikacji „Informacja dla wszystkich. Europejskie standardy przygotowania tekstu łatwego do czytania i zrozumienia”</w:t>
      </w:r>
      <w:r w:rsidRPr="00F33F73">
        <w:rPr>
          <w:rFonts w:ascii="Lato" w:hAnsi="Lato"/>
          <w:bCs/>
          <w:vertAlign w:val="superscript"/>
        </w:rPr>
        <w:footnoteReference w:id="4"/>
      </w:r>
      <w:r w:rsidRPr="00F33F73">
        <w:rPr>
          <w:rFonts w:ascii="Lato" w:hAnsi="Lato"/>
          <w:bCs/>
        </w:rPr>
        <w:t>, dostarczonymi przez Zamawiającego. Wykonawca może stosować inne rozwiązania, jeżeli zapewnią one lepszą dostępność w zakresie realizacji umowy.</w:t>
      </w:r>
    </w:p>
    <w:p w14:paraId="6DE1EC53" w14:textId="77777777" w:rsidR="00DF1C80" w:rsidRPr="00F33F73" w:rsidRDefault="00DF1C80" w:rsidP="00DF1C80">
      <w:pPr>
        <w:pStyle w:val="Akapitzlist"/>
        <w:numPr>
          <w:ilvl w:val="0"/>
          <w:numId w:val="5"/>
        </w:numPr>
        <w:spacing w:line="276" w:lineRule="auto"/>
        <w:ind w:left="851" w:hanging="425"/>
        <w:rPr>
          <w:rFonts w:ascii="Lato" w:hAnsi="Lato" w:cs="Calibri"/>
          <w:bCs/>
        </w:rPr>
      </w:pPr>
      <w:r w:rsidRPr="00F33F73">
        <w:rPr>
          <w:rFonts w:ascii="Lato" w:hAnsi="Lato" w:cs="Calibri"/>
          <w:bCs/>
        </w:rPr>
        <w:t>Zamawiający wymaga zapewnienia dostępności informacyjno-komunikacyjnej oraz cyfrowej pięciu artykułów eksperckich, poprzez przygotowanie ich również w formie lub w postaci:</w:t>
      </w:r>
    </w:p>
    <w:p w14:paraId="6B4EC87A" w14:textId="07146D8B" w:rsidR="001E463B" w:rsidRPr="00F33F73" w:rsidRDefault="00DF1C80" w:rsidP="001E463B">
      <w:pPr>
        <w:pStyle w:val="Akapitzlist"/>
        <w:numPr>
          <w:ilvl w:val="2"/>
          <w:numId w:val="11"/>
        </w:numPr>
        <w:spacing w:line="276" w:lineRule="auto"/>
        <w:ind w:left="1134" w:hanging="283"/>
        <w:rPr>
          <w:rFonts w:ascii="Lato" w:hAnsi="Lato" w:cs="Calibri"/>
          <w:bCs/>
        </w:rPr>
      </w:pPr>
      <w:r w:rsidRPr="00F33F73">
        <w:rPr>
          <w:rFonts w:ascii="Lato" w:hAnsi="Lato"/>
          <w:b/>
          <w:bCs/>
        </w:rPr>
        <w:t>Raport i sprawozdanie</w:t>
      </w:r>
      <w:r w:rsidR="001E463B" w:rsidRPr="001E463B">
        <w:rPr>
          <w:rFonts w:ascii="Lato" w:hAnsi="Lato" w:cs="Calibri"/>
          <w:bCs/>
        </w:rPr>
        <w:t xml:space="preserve"> </w:t>
      </w:r>
      <w:r w:rsidR="001E463B" w:rsidRPr="00F33F73">
        <w:rPr>
          <w:rFonts w:ascii="Lato" w:hAnsi="Lato" w:cs="Calibri"/>
          <w:bCs/>
        </w:rPr>
        <w:t>cyfrowo dostępnego dokumentu tekstowego,</w:t>
      </w:r>
    </w:p>
    <w:p w14:paraId="486DD001" w14:textId="77777777" w:rsidR="001E463B" w:rsidRPr="00F33F73" w:rsidRDefault="001E463B" w:rsidP="001E463B">
      <w:pPr>
        <w:pStyle w:val="Akapitzlist"/>
        <w:numPr>
          <w:ilvl w:val="2"/>
          <w:numId w:val="11"/>
        </w:numPr>
        <w:spacing w:line="276" w:lineRule="auto"/>
        <w:ind w:left="1134" w:hanging="283"/>
        <w:rPr>
          <w:rFonts w:ascii="Lato" w:hAnsi="Lato" w:cs="Calibri"/>
          <w:bCs/>
        </w:rPr>
      </w:pPr>
      <w:r w:rsidRPr="00F33F73">
        <w:rPr>
          <w:rFonts w:ascii="Lato" w:hAnsi="Lato" w:cs="Calibri"/>
          <w:bCs/>
        </w:rPr>
        <w:t xml:space="preserve">tekstu łatwego do czytania i rozumienia, </w:t>
      </w:r>
    </w:p>
    <w:p w14:paraId="37D19C57" w14:textId="77777777" w:rsidR="001E463B" w:rsidRPr="00F33F73" w:rsidRDefault="001E463B" w:rsidP="001E463B">
      <w:pPr>
        <w:pStyle w:val="Akapitzlist"/>
        <w:numPr>
          <w:ilvl w:val="2"/>
          <w:numId w:val="11"/>
        </w:numPr>
        <w:spacing w:line="276" w:lineRule="auto"/>
        <w:ind w:left="1134" w:hanging="283"/>
        <w:rPr>
          <w:rFonts w:ascii="Lato" w:hAnsi="Lato" w:cs="Calibri"/>
          <w:bCs/>
        </w:rPr>
      </w:pPr>
      <w:r w:rsidRPr="00F33F73">
        <w:rPr>
          <w:rFonts w:ascii="Lato" w:hAnsi="Lato" w:cs="Calibri"/>
          <w:bCs/>
        </w:rPr>
        <w:t>elektronicznego pliku zawierającego tekst odczytywalny maszynowo,</w:t>
      </w:r>
    </w:p>
    <w:p w14:paraId="7F67979C" w14:textId="77777777" w:rsidR="001E463B" w:rsidRPr="00F33F73" w:rsidRDefault="001E463B" w:rsidP="001E463B">
      <w:pPr>
        <w:pStyle w:val="Akapitzlist"/>
        <w:numPr>
          <w:ilvl w:val="2"/>
          <w:numId w:val="11"/>
        </w:numPr>
        <w:spacing w:line="276" w:lineRule="auto"/>
        <w:ind w:left="1134" w:hanging="283"/>
        <w:rPr>
          <w:rFonts w:ascii="Lato" w:hAnsi="Lato" w:cs="Calibri"/>
          <w:bCs/>
        </w:rPr>
      </w:pPr>
      <w:r w:rsidRPr="00F33F73">
        <w:rPr>
          <w:rFonts w:ascii="Lato" w:hAnsi="Lato" w:cs="Calibri"/>
          <w:bCs/>
        </w:rPr>
        <w:t>nagrania treści w polskim języku migowym.</w:t>
      </w:r>
    </w:p>
    <w:p w14:paraId="08C771B4" w14:textId="1C168347" w:rsidR="00DF1C80" w:rsidRPr="00F33F73" w:rsidRDefault="00E02F90" w:rsidP="00DF1C80">
      <w:pPr>
        <w:numPr>
          <w:ilvl w:val="0"/>
          <w:numId w:val="1"/>
        </w:numPr>
        <w:spacing w:line="276" w:lineRule="auto"/>
        <w:ind w:left="426" w:hanging="426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Raport  z wykonania zamówienia</w:t>
      </w:r>
    </w:p>
    <w:p w14:paraId="6661C268" w14:textId="77777777" w:rsidR="00DF1C80" w:rsidRPr="00F33F73" w:rsidRDefault="00DF1C80" w:rsidP="00DF1C80">
      <w:pPr>
        <w:spacing w:line="276" w:lineRule="auto"/>
        <w:ind w:left="426"/>
        <w:rPr>
          <w:rFonts w:ascii="Lato" w:hAnsi="Lato"/>
          <w:bCs/>
        </w:rPr>
      </w:pPr>
      <w:r w:rsidRPr="00F33F73">
        <w:rPr>
          <w:rFonts w:ascii="Lato" w:hAnsi="Lato"/>
        </w:rPr>
        <w:t>Po zakończeniu wykonywania</w:t>
      </w:r>
      <w:r w:rsidRPr="00F33F73">
        <w:rPr>
          <w:rFonts w:ascii="Lato" w:hAnsi="Lato"/>
          <w:bCs/>
        </w:rPr>
        <w:t xml:space="preserve"> przedmiotu Zamówienia, Wykonawca sporządzi i przekaże Zamawiającemu raport z wykonania działań promocyjnych. Raport będzie obejmował w szczególności potwierdzenie osiągnięcia wskaźników opisanych w pkt 2 Opisu Przedmiotu Zamówienia. </w:t>
      </w:r>
    </w:p>
    <w:p w14:paraId="1E8E66F2" w14:textId="270CF843" w:rsidR="000B714B" w:rsidRDefault="00DF1C80" w:rsidP="00DF1C80">
      <w:pPr>
        <w:spacing w:line="276" w:lineRule="auto"/>
        <w:ind w:left="426"/>
      </w:pPr>
      <w:r w:rsidRPr="00F33F73">
        <w:rPr>
          <w:rFonts w:ascii="Lato" w:hAnsi="Lato"/>
          <w:bCs/>
        </w:rPr>
        <w:t>W raporcie Wykonawca uwzględni sprawozdanie ze sposobu zapewnienia dostępności osobom ze szczególnymi potrzebami.</w:t>
      </w:r>
    </w:p>
    <w:sectPr w:rsidR="000B714B" w:rsidSect="00DF1C80">
      <w:headerReference w:type="default" r:id="rId7"/>
      <w:footerReference w:type="default" r:id="rId8"/>
      <w:pgSz w:w="11906" w:h="16838"/>
      <w:pgMar w:top="1418" w:right="1418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8C09E" w14:textId="77777777" w:rsidR="00C56D36" w:rsidRDefault="00C56D36" w:rsidP="00DF1C80">
      <w:r>
        <w:separator/>
      </w:r>
    </w:p>
  </w:endnote>
  <w:endnote w:type="continuationSeparator" w:id="0">
    <w:p w14:paraId="7B300D8F" w14:textId="77777777" w:rsidR="00C56D36" w:rsidRDefault="00C56D36" w:rsidP="00DF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</w:rPr>
      <w:id w:val="-75138140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</w:rPr>
          <w:id w:val="-1958860649"/>
          <w:docPartObj>
            <w:docPartGallery w:val="Page Numbers (Top of Page)"/>
            <w:docPartUnique/>
          </w:docPartObj>
        </w:sdtPr>
        <w:sdtContent>
          <w:p w14:paraId="12821A7E" w14:textId="77777777" w:rsidR="00DF1C80" w:rsidRPr="000E7AFD" w:rsidRDefault="00DF1C80" w:rsidP="000E7AFD">
            <w:pPr>
              <w:pStyle w:val="Stopka"/>
              <w:jc w:val="center"/>
              <w:rPr>
                <w:rFonts w:ascii="Lato" w:hAnsi="Lato"/>
              </w:rPr>
            </w:pPr>
            <w:r w:rsidRPr="000E7AFD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b/>
                <w:bCs/>
                <w:noProof/>
                <w:sz w:val="16"/>
                <w:szCs w:val="16"/>
              </w:rPr>
              <w:t>7</w:t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0E7AFD">
              <w:rPr>
                <w:rFonts w:ascii="Lato" w:hAnsi="Lato"/>
                <w:sz w:val="16"/>
                <w:szCs w:val="16"/>
              </w:rPr>
              <w:t xml:space="preserve"> z </w:t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0E7AFD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3210" w14:textId="77777777" w:rsidR="00C56D36" w:rsidRDefault="00C56D36" w:rsidP="00DF1C80">
      <w:r>
        <w:separator/>
      </w:r>
    </w:p>
  </w:footnote>
  <w:footnote w:type="continuationSeparator" w:id="0">
    <w:p w14:paraId="7A39A846" w14:textId="77777777" w:rsidR="00C56D36" w:rsidRDefault="00C56D36" w:rsidP="00DF1C80">
      <w:r>
        <w:continuationSeparator/>
      </w:r>
    </w:p>
  </w:footnote>
  <w:footnote w:id="1">
    <w:p w14:paraId="4141040D" w14:textId="77777777" w:rsidR="00DF1C80" w:rsidRDefault="00DF1C80" w:rsidP="00DF1C80">
      <w:pPr>
        <w:pStyle w:val="Tekstprzypisudolnego"/>
      </w:pPr>
      <w:r w:rsidRPr="00592359">
        <w:rPr>
          <w:rFonts w:ascii="Calibri" w:hAnsi="Calibri" w:cs="Calibri"/>
          <w:sz w:val="18"/>
          <w:szCs w:val="18"/>
        </w:rPr>
        <w:t>https://www.funduszeeuropejskie.gov.pl/media/123050/Strategia_komunikacji_FE_2021_2027.pdf</w:t>
      </w:r>
    </w:p>
  </w:footnote>
  <w:footnote w:id="2">
    <w:p w14:paraId="76454727" w14:textId="77777777" w:rsidR="00DF1C80" w:rsidRPr="00574AB6" w:rsidRDefault="00DF1C80" w:rsidP="00DF1C80">
      <w:pPr>
        <w:pStyle w:val="Tekstprzypisudolnego"/>
        <w:rPr>
          <w:rFonts w:ascii="Calibri" w:hAnsi="Calibri" w:cs="Calibri"/>
          <w:sz w:val="18"/>
          <w:szCs w:val="18"/>
        </w:rPr>
      </w:pPr>
      <w:r w:rsidRPr="00574A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74AB6">
        <w:rPr>
          <w:rFonts w:ascii="Calibri" w:hAnsi="Calibri" w:cs="Calibri"/>
          <w:sz w:val="18"/>
          <w:szCs w:val="18"/>
        </w:rPr>
        <w:t xml:space="preserve"> www.funduszeeuropejskie.gov.pl/media/128891/ksiega_marki_fe_styczen_2024.pdf</w:t>
      </w:r>
    </w:p>
  </w:footnote>
  <w:footnote w:id="3">
    <w:p w14:paraId="5AC79A9A" w14:textId="77777777" w:rsidR="00DF1C80" w:rsidRPr="00574AB6" w:rsidRDefault="00DF1C80" w:rsidP="00DF1C80">
      <w:pPr>
        <w:pStyle w:val="Tekstprzypisudolnego"/>
        <w:rPr>
          <w:rFonts w:ascii="Calibri" w:hAnsi="Calibri" w:cs="Calibri"/>
          <w:sz w:val="18"/>
          <w:szCs w:val="18"/>
        </w:rPr>
      </w:pPr>
      <w:r w:rsidRPr="00574A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74AB6">
        <w:rPr>
          <w:rFonts w:ascii="Calibri" w:hAnsi="Calibri" w:cs="Calibri"/>
          <w:sz w:val="18"/>
          <w:szCs w:val="18"/>
        </w:rPr>
        <w:t xml:space="preserve"> https://www.funduszeeuropejskie.gov.pl/media/86764/ustawa_o_dostepnosci_poradnik.pdf</w:t>
      </w:r>
    </w:p>
  </w:footnote>
  <w:footnote w:id="4">
    <w:p w14:paraId="3682F477" w14:textId="77777777" w:rsidR="00DF1C80" w:rsidRPr="00574AB6" w:rsidRDefault="00DF1C80" w:rsidP="00DF1C80">
      <w:pPr>
        <w:pStyle w:val="Tekstprzypisudolnego"/>
        <w:rPr>
          <w:rFonts w:ascii="Calibri" w:hAnsi="Calibri" w:cs="Calibri"/>
          <w:sz w:val="18"/>
          <w:szCs w:val="18"/>
        </w:rPr>
      </w:pPr>
      <w:r w:rsidRPr="00574A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74AB6">
        <w:rPr>
          <w:rFonts w:ascii="Calibri" w:hAnsi="Calibri" w:cs="Calibri"/>
          <w:sz w:val="18"/>
          <w:szCs w:val="18"/>
        </w:rPr>
        <w:t xml:space="preserve"> https://www.power.gov.pl/media/13597/informacja-dla-wszystkich.pdf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4FFF" w14:textId="77777777" w:rsidR="00DF1C80" w:rsidRPr="00F8213A" w:rsidRDefault="00DF1C80" w:rsidP="00F8213A">
    <w:pPr>
      <w:pStyle w:val="Nagwek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BAE044" wp14:editId="763A5D80">
          <wp:simplePos x="0" y="0"/>
          <wp:positionH relativeFrom="margin">
            <wp:align>right</wp:align>
          </wp:positionH>
          <wp:positionV relativeFrom="paragraph">
            <wp:posOffset>-222631</wp:posOffset>
          </wp:positionV>
          <wp:extent cx="5760720" cy="571500"/>
          <wp:effectExtent l="0" t="0" r="0" b="0"/>
          <wp:wrapSquare wrapText="bothSides"/>
          <wp:docPr id="377429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6DA"/>
    <w:multiLevelType w:val="hybridMultilevel"/>
    <w:tmpl w:val="5A9465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D879B2"/>
    <w:multiLevelType w:val="hybridMultilevel"/>
    <w:tmpl w:val="E716BC0C"/>
    <w:lvl w:ilvl="0" w:tplc="A85A092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56956"/>
    <w:multiLevelType w:val="hybridMultilevel"/>
    <w:tmpl w:val="C1C43118"/>
    <w:lvl w:ilvl="0" w:tplc="0C6A7DF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EFA62D2"/>
    <w:multiLevelType w:val="hybridMultilevel"/>
    <w:tmpl w:val="1DE41106"/>
    <w:lvl w:ilvl="0" w:tplc="6B56619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36B50CCB"/>
    <w:multiLevelType w:val="hybridMultilevel"/>
    <w:tmpl w:val="047413C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B3A2CBF"/>
    <w:multiLevelType w:val="hybridMultilevel"/>
    <w:tmpl w:val="C4B251CE"/>
    <w:lvl w:ilvl="0" w:tplc="0C6A7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7F060E2"/>
    <w:multiLevelType w:val="hybridMultilevel"/>
    <w:tmpl w:val="31C01E24"/>
    <w:lvl w:ilvl="0" w:tplc="0C6A7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DEC7894"/>
    <w:multiLevelType w:val="hybridMultilevel"/>
    <w:tmpl w:val="6708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47CB"/>
    <w:multiLevelType w:val="hybridMultilevel"/>
    <w:tmpl w:val="5396F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931F19"/>
    <w:multiLevelType w:val="hybridMultilevel"/>
    <w:tmpl w:val="7F186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B05619"/>
    <w:multiLevelType w:val="hybridMultilevel"/>
    <w:tmpl w:val="8554874C"/>
    <w:lvl w:ilvl="0" w:tplc="0C6A7D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12084007">
    <w:abstractNumId w:val="7"/>
  </w:num>
  <w:num w:numId="2" w16cid:durableId="1556888219">
    <w:abstractNumId w:val="0"/>
  </w:num>
  <w:num w:numId="3" w16cid:durableId="167017801">
    <w:abstractNumId w:val="8"/>
  </w:num>
  <w:num w:numId="4" w16cid:durableId="1738741031">
    <w:abstractNumId w:val="2"/>
  </w:num>
  <w:num w:numId="5" w16cid:durableId="2104494860">
    <w:abstractNumId w:val="9"/>
  </w:num>
  <w:num w:numId="6" w16cid:durableId="1707487176">
    <w:abstractNumId w:val="5"/>
  </w:num>
  <w:num w:numId="7" w16cid:durableId="504245134">
    <w:abstractNumId w:val="1"/>
  </w:num>
  <w:num w:numId="8" w16cid:durableId="2055691781">
    <w:abstractNumId w:val="3"/>
  </w:num>
  <w:num w:numId="9" w16cid:durableId="509416514">
    <w:abstractNumId w:val="6"/>
  </w:num>
  <w:num w:numId="10" w16cid:durableId="1539662253">
    <w:abstractNumId w:val="10"/>
  </w:num>
  <w:num w:numId="11" w16cid:durableId="1725182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80"/>
    <w:rsid w:val="000B714B"/>
    <w:rsid w:val="00152E8E"/>
    <w:rsid w:val="001E463B"/>
    <w:rsid w:val="002D7916"/>
    <w:rsid w:val="003C4CA6"/>
    <w:rsid w:val="003F4AD3"/>
    <w:rsid w:val="00420D6A"/>
    <w:rsid w:val="004A5CAC"/>
    <w:rsid w:val="00607E74"/>
    <w:rsid w:val="007B5E20"/>
    <w:rsid w:val="007E1B54"/>
    <w:rsid w:val="00813DDB"/>
    <w:rsid w:val="00914640"/>
    <w:rsid w:val="00927331"/>
    <w:rsid w:val="009D359F"/>
    <w:rsid w:val="009F09F2"/>
    <w:rsid w:val="00B63C49"/>
    <w:rsid w:val="00BE3928"/>
    <w:rsid w:val="00BF6682"/>
    <w:rsid w:val="00C56D36"/>
    <w:rsid w:val="00DF1C80"/>
    <w:rsid w:val="00E02F90"/>
    <w:rsid w:val="00E07A52"/>
    <w:rsid w:val="00E65476"/>
    <w:rsid w:val="00E65D0D"/>
    <w:rsid w:val="00E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9C64"/>
  <w15:chartTrackingRefBased/>
  <w15:docId w15:val="{84A4622C-02AB-4076-9D55-2F59D58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C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C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C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C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C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C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C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C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C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C8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C8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C80"/>
    <w:rPr>
      <w:i/>
      <w:iCs/>
      <w:color w:val="404040" w:themeColor="text1" w:themeTint="BF"/>
    </w:rPr>
  </w:style>
  <w:style w:type="paragraph" w:styleId="Akapitzlist">
    <w:name w:val="List Paragraph"/>
    <w:aliases w:val="EPL lista punktowana z wyrózneniem,A_wyliczenie,K-P_odwolanie,Akapit z listą5,maz_wyliczenie,opis dzialania,Wykres,Numerowanie,L1,Preambuła,List Paragraph,Wypunktowanie,BulletC,Wyliczanie,Obiekt,normalny tekst,Akapit z listą31,Bullets,lp1"/>
    <w:basedOn w:val="Normalny"/>
    <w:link w:val="AkapitzlistZnak"/>
    <w:uiPriority w:val="34"/>
    <w:qFormat/>
    <w:rsid w:val="00DF1C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C8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C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C8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C80"/>
    <w:rPr>
      <w:b/>
      <w:bCs/>
      <w:smallCaps/>
      <w:color w:val="2E74B5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F1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C8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F1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C8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F1C80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F1C8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F1C80"/>
    <w:rPr>
      <w:vertAlign w:val="superscript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,Preambuła Znak,List Paragraph Znak,Wypunktowanie Znak"/>
    <w:link w:val="Akapitzlist"/>
    <w:uiPriority w:val="34"/>
    <w:qFormat/>
    <w:rsid w:val="00DF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Bańkowska Lidia</dc:creator>
  <cp:keywords/>
  <dc:description/>
  <cp:lastModifiedBy>Bańkowska Lidia</cp:lastModifiedBy>
  <cp:revision>2</cp:revision>
  <cp:lastPrinted>2024-12-10T12:34:00Z</cp:lastPrinted>
  <dcterms:created xsi:type="dcterms:W3CDTF">2024-12-10T16:47:00Z</dcterms:created>
  <dcterms:modified xsi:type="dcterms:W3CDTF">2024-12-10T16:47:00Z</dcterms:modified>
</cp:coreProperties>
</file>