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797A" w14:textId="7617CD55" w:rsidR="00805718" w:rsidRPr="00E46FC0" w:rsidRDefault="003D0B41" w:rsidP="00D05DF7">
      <w:pPr>
        <w:spacing w:before="120"/>
        <w:ind w:left="57" w:right="57"/>
        <w:jc w:val="right"/>
        <w:rPr>
          <w:u w:val="single"/>
        </w:rPr>
      </w:pPr>
      <w:r w:rsidRPr="00E46FC0">
        <w:rPr>
          <w:u w:val="single"/>
        </w:rPr>
        <w:t>p</w:t>
      </w:r>
      <w:r w:rsidR="00805718" w:rsidRPr="00E46FC0">
        <w:rPr>
          <w:u w:val="single"/>
        </w:rPr>
        <w:t xml:space="preserve">rojekt z </w:t>
      </w:r>
      <w:r w:rsidRPr="00E46FC0">
        <w:rPr>
          <w:u w:val="single"/>
        </w:rPr>
        <w:t>dnia</w:t>
      </w:r>
      <w:r w:rsidR="000D0688" w:rsidRPr="00E46FC0">
        <w:rPr>
          <w:u w:val="single"/>
        </w:rPr>
        <w:t xml:space="preserve"> </w:t>
      </w:r>
      <w:r w:rsidR="00037E9D" w:rsidRPr="00E46FC0">
        <w:rPr>
          <w:u w:val="single"/>
        </w:rPr>
        <w:t>2</w:t>
      </w:r>
      <w:r w:rsidR="00E46FC0">
        <w:rPr>
          <w:u w:val="single"/>
        </w:rPr>
        <w:t xml:space="preserve"> grudnia</w:t>
      </w:r>
      <w:r w:rsidR="0086747E" w:rsidRPr="00E46FC0">
        <w:rPr>
          <w:u w:val="single"/>
        </w:rPr>
        <w:t xml:space="preserve"> 2024 r.</w:t>
      </w:r>
    </w:p>
    <w:p w14:paraId="680BF271" w14:textId="319B038F" w:rsidR="00805718" w:rsidRDefault="00805718" w:rsidP="00D05DF7">
      <w:pPr>
        <w:spacing w:before="120"/>
        <w:ind w:left="57" w:right="57"/>
        <w:jc w:val="center"/>
        <w:rPr>
          <w:b/>
          <w:bCs/>
        </w:rPr>
      </w:pPr>
      <w:r w:rsidRPr="00E46FC0">
        <w:rPr>
          <w:b/>
          <w:bCs/>
        </w:rPr>
        <w:t>UZASADNIENIE</w:t>
      </w:r>
    </w:p>
    <w:p w14:paraId="3AF7F0D1" w14:textId="7BCC8CAD" w:rsidR="00CE7FB3" w:rsidRPr="00E46FC0" w:rsidRDefault="00CE7FB3" w:rsidP="00D05DF7">
      <w:pPr>
        <w:spacing w:before="120"/>
        <w:ind w:left="57" w:right="57"/>
        <w:jc w:val="both"/>
      </w:pPr>
      <w:proofErr w:type="spellStart"/>
      <w:r w:rsidRPr="00E46FC0">
        <w:t>Pełnoskalowa</w:t>
      </w:r>
      <w:proofErr w:type="spellEnd"/>
      <w:r w:rsidRPr="00E46FC0">
        <w:t xml:space="preserve"> agresja Federacji Rosyjskiej wobec Ukrainy, rozpoczęta w dniu 24 lutego 2022</w:t>
      </w:r>
      <w:r w:rsidR="00E46FC0">
        <w:t> </w:t>
      </w:r>
      <w:r w:rsidRPr="00E46FC0">
        <w:t xml:space="preserve">r., spowodowała masową migrację osób poszukujących ochrony. W 2024 r. pod ochroną czasową w Rzeczypospolitej Polskiej pozostaje niemal 1 mln osób z Ukrainy, a zdecydowana większość z nich to kobiety i dzieci. </w:t>
      </w:r>
    </w:p>
    <w:p w14:paraId="032D234D" w14:textId="713DC334" w:rsidR="00CE7FB3" w:rsidRPr="00E46FC0" w:rsidRDefault="00CE7FB3" w:rsidP="00D05DF7">
      <w:pPr>
        <w:spacing w:before="120"/>
        <w:ind w:left="57" w:right="57"/>
        <w:jc w:val="both"/>
      </w:pPr>
      <w:r w:rsidRPr="00E46FC0">
        <w:t>Zgodnie z danymi z systemu informacji oświatowej</w:t>
      </w:r>
      <w:r w:rsidR="00F22B15" w:rsidRPr="00E46FC0">
        <w:t xml:space="preserve"> (SIO), </w:t>
      </w:r>
      <w:r w:rsidRPr="00E46FC0">
        <w:t xml:space="preserve">w dniu zakończenia </w:t>
      </w:r>
      <w:r w:rsidRPr="00E46FC0">
        <w:rPr>
          <w:bCs/>
        </w:rPr>
        <w:t>zajęć dydaktycznych w </w:t>
      </w:r>
      <w:r w:rsidRPr="00E46FC0">
        <w:t xml:space="preserve">roku </w:t>
      </w:r>
      <w:r w:rsidRPr="00E46FC0">
        <w:rPr>
          <w:bCs/>
        </w:rPr>
        <w:t xml:space="preserve">szkolnym </w:t>
      </w:r>
      <w:r w:rsidRPr="00E46FC0">
        <w:t>2023/2024 (</w:t>
      </w:r>
      <w:r w:rsidRPr="00E46FC0">
        <w:rPr>
          <w:bCs/>
        </w:rPr>
        <w:t>według</w:t>
      </w:r>
      <w:r w:rsidRPr="00E46FC0">
        <w:t xml:space="preserve"> stanu na dzień 21 czerwca 2024 r.) w</w:t>
      </w:r>
      <w:r w:rsidR="00E46FC0">
        <w:t> </w:t>
      </w:r>
      <w:r w:rsidRPr="00E46FC0">
        <w:t xml:space="preserve">polskich szkołach uczyło się 132 495 dzieci i młodzieży przybyłych z Ukrainy, co </w:t>
      </w:r>
      <w:r w:rsidRPr="00E46FC0">
        <w:rPr>
          <w:bCs/>
        </w:rPr>
        <w:t>stanowiło</w:t>
      </w:r>
      <w:r w:rsidRPr="00E46FC0">
        <w:t xml:space="preserve"> ok. 2,6% ogółu uczniów w polskim systemie oświaty. </w:t>
      </w:r>
    </w:p>
    <w:p w14:paraId="19387FEE" w14:textId="77777777" w:rsidR="00805718" w:rsidRPr="00E46FC0" w:rsidRDefault="00805718" w:rsidP="00D05DF7">
      <w:pPr>
        <w:spacing w:before="120"/>
        <w:ind w:left="57" w:right="57"/>
        <w:jc w:val="both"/>
      </w:pPr>
      <w:r w:rsidRPr="00E46FC0">
        <w:t>Biorąc pod uwagę:</w:t>
      </w:r>
    </w:p>
    <w:p w14:paraId="6D814AED" w14:textId="1A358EFD" w:rsidR="00805718" w:rsidRPr="00E46FC0" w:rsidRDefault="00805718" w:rsidP="00D05DF7">
      <w:pPr>
        <w:pStyle w:val="Akapitzlist"/>
        <w:numPr>
          <w:ilvl w:val="0"/>
          <w:numId w:val="9"/>
        </w:numPr>
        <w:spacing w:before="120"/>
        <w:ind w:right="57"/>
        <w:jc w:val="both"/>
      </w:pPr>
      <w:r w:rsidRPr="00E46FC0">
        <w:t xml:space="preserve">objęcie od dnia 1 września 2024 r. obowiązkiem szkolnym i </w:t>
      </w:r>
      <w:r w:rsidR="00E46FC0">
        <w:t xml:space="preserve">obowiązkiem </w:t>
      </w:r>
      <w:r w:rsidRPr="00E46FC0">
        <w:t xml:space="preserve">nauki dzieci </w:t>
      </w:r>
      <w:r w:rsidR="00B9762E">
        <w:br/>
      </w:r>
      <w:r w:rsidRPr="00E46FC0">
        <w:t>i młodzieży z Ukrainy przebywających na terytorium Rzeczypospolitej Polskiej</w:t>
      </w:r>
      <w:r w:rsidR="00E46FC0">
        <w:t>,</w:t>
      </w:r>
      <w:r w:rsidR="00B054F1" w:rsidRPr="00E46FC0">
        <w:t xml:space="preserve"> </w:t>
      </w:r>
      <w:r w:rsidRPr="00E46FC0">
        <w:t xml:space="preserve"> </w:t>
      </w:r>
    </w:p>
    <w:p w14:paraId="14245B10" w14:textId="0007B942" w:rsidR="00805718" w:rsidRPr="00E46FC0" w:rsidRDefault="00805718" w:rsidP="00D05DF7">
      <w:pPr>
        <w:pStyle w:val="Akapitzlist"/>
        <w:numPr>
          <w:ilvl w:val="0"/>
          <w:numId w:val="9"/>
        </w:numPr>
        <w:spacing w:before="120"/>
        <w:ind w:right="57"/>
        <w:jc w:val="both"/>
      </w:pPr>
      <w:r w:rsidRPr="00E46FC0">
        <w:t>zmian</w:t>
      </w:r>
      <w:r w:rsidR="00E46FC0">
        <w:t>ę</w:t>
      </w:r>
      <w:r w:rsidRPr="00E46FC0">
        <w:t xml:space="preserve"> przepisów regulujących funkcjonowanie osób przybyłych do Polski z Ukrainy od dnia 24 lutego 2022 r., w tym wprowadzenie zasady, zgodnie z którą dziecko obywatela Ukrainy, na które ubiega się on o świadczenia wychowawcze, o którym mowa w ustawie z</w:t>
      </w:r>
      <w:r w:rsidR="00E46FC0">
        <w:t> </w:t>
      </w:r>
      <w:r w:rsidRPr="00E46FC0">
        <w:t>dnia 11 lutego 2016 r. o pomocy państwa w wychowywaniu dzieci (Dz. U. z 2024 r. poz.</w:t>
      </w:r>
      <w:r w:rsidR="00E46FC0">
        <w:t> </w:t>
      </w:r>
      <w:r w:rsidRPr="00E46FC0">
        <w:t xml:space="preserve">421, z </w:t>
      </w:r>
      <w:proofErr w:type="spellStart"/>
      <w:r w:rsidRPr="00E46FC0">
        <w:t>późn</w:t>
      </w:r>
      <w:proofErr w:type="spellEnd"/>
      <w:r w:rsidRPr="00E46FC0">
        <w:t xml:space="preserve">. zm.), musi realizować obowiązek szkolny albo obowiązek nauki w ramach polskiego systemu oświaty, co </w:t>
      </w:r>
      <w:r w:rsidR="002D1D1E" w:rsidRPr="00E46FC0">
        <w:t xml:space="preserve">może </w:t>
      </w:r>
      <w:r w:rsidRPr="00E46FC0">
        <w:t>przełoży</w:t>
      </w:r>
      <w:r w:rsidR="002D1D1E" w:rsidRPr="00E46FC0">
        <w:t>ć</w:t>
      </w:r>
      <w:r w:rsidRPr="00E46FC0">
        <w:t xml:space="preserve"> się na zwiększenie liczby uczniów i</w:t>
      </w:r>
      <w:r w:rsidR="00E46FC0">
        <w:t> </w:t>
      </w:r>
      <w:r w:rsidRPr="00E46FC0">
        <w:t>uczennic z Ukrainy w szkołach polskiego systemu oświaty,</w:t>
      </w:r>
    </w:p>
    <w:p w14:paraId="51C63D1E" w14:textId="435AC5C9" w:rsidR="00805718" w:rsidRPr="00E46FC0" w:rsidRDefault="00805718" w:rsidP="00D05DF7">
      <w:pPr>
        <w:pStyle w:val="Akapitzlist"/>
        <w:numPr>
          <w:ilvl w:val="0"/>
          <w:numId w:val="9"/>
        </w:numPr>
        <w:spacing w:before="120"/>
        <w:ind w:right="57"/>
        <w:jc w:val="both"/>
      </w:pPr>
      <w:r w:rsidRPr="00E46FC0">
        <w:t xml:space="preserve">pozostawanie w roku szkolnym 2023/2024 poza polskim system oświaty </w:t>
      </w:r>
      <w:r w:rsidR="000D0688" w:rsidRPr="00E46FC0">
        <w:t>znacznej</w:t>
      </w:r>
      <w:r w:rsidRPr="00E46FC0">
        <w:t xml:space="preserve"> liczby dzieci i młodzieży z Ukrainy, przy jednoczesnym braku pobierania przez te osoby nauki w</w:t>
      </w:r>
      <w:r w:rsidR="00E46FC0">
        <w:t> </w:t>
      </w:r>
      <w:r w:rsidRPr="00E46FC0">
        <w:t>szkołach funkcjonujących w ukraińskim systemie oświaty z wykorzystaniem metod i</w:t>
      </w:r>
      <w:r w:rsidR="00E46FC0">
        <w:t> </w:t>
      </w:r>
      <w:r w:rsidRPr="00E46FC0">
        <w:t>technik kształcenia na odległość, w tym zjawisko rezygnacji z pobierania nauki w ramach polskiego systemu oświaty, co może powodować szereg wyzwań i potencjalnych problemów związanych z rozpoczęciem realizacji przez tę grupę od dnia 1 września 2024</w:t>
      </w:r>
      <w:r w:rsidR="00E46FC0">
        <w:t> </w:t>
      </w:r>
      <w:r w:rsidRPr="00E46FC0">
        <w:t>r. kształcenia w szkołach polskiego systemu oświaty, zwłaszcza w kontekście społecznego funkcjonowania tej grupy,</w:t>
      </w:r>
    </w:p>
    <w:p w14:paraId="3D238C9A" w14:textId="7734609E" w:rsidR="00805718" w:rsidRPr="00E46FC0" w:rsidRDefault="00805718" w:rsidP="00D05DF7">
      <w:pPr>
        <w:pStyle w:val="Akapitzlist"/>
        <w:numPr>
          <w:ilvl w:val="0"/>
          <w:numId w:val="9"/>
        </w:numPr>
        <w:spacing w:before="120"/>
        <w:ind w:right="57"/>
        <w:jc w:val="both"/>
      </w:pPr>
      <w:r w:rsidRPr="00E46FC0">
        <w:t>niepewność sytuacji w Ukrainie i fakt, że nieuzasadniona agresja zbrojna Federacji Rosyjskiej wobec Ukrainy przedłuża się, co może skutkować dalszymi masowymi migracjami osób poszukujących ochrony w Polsce, w tym migracjami dzieci i młodzieży</w:t>
      </w:r>
      <w:r w:rsidR="00B9762E">
        <w:t>,</w:t>
      </w:r>
      <w:r w:rsidRPr="00E46FC0">
        <w:t xml:space="preserve"> </w:t>
      </w:r>
    </w:p>
    <w:p w14:paraId="0062ED6B" w14:textId="77777777" w:rsidR="00805718" w:rsidRPr="00E46FC0" w:rsidRDefault="00805718" w:rsidP="00D05DF7">
      <w:pPr>
        <w:spacing w:before="120"/>
        <w:ind w:left="57" w:right="57"/>
        <w:jc w:val="both"/>
      </w:pPr>
      <w:r w:rsidRPr="00E46FC0">
        <w:t>za konieczne uznano udzielenie dodatkowego wsparcia, umożliwiającego lepsze dostosowanie środowiska szkolnego do potrzeb uczniów i uczennic z Ukrainy.</w:t>
      </w:r>
    </w:p>
    <w:p w14:paraId="687ABF6E" w14:textId="6A2B6E14" w:rsidR="003E224E" w:rsidRPr="00E46FC0" w:rsidRDefault="003E224E" w:rsidP="00D05DF7">
      <w:pPr>
        <w:spacing w:before="120"/>
        <w:ind w:left="57" w:right="57"/>
        <w:jc w:val="both"/>
      </w:pPr>
      <w:r w:rsidRPr="00E46FC0">
        <w:t xml:space="preserve">Zasady i warunki realizacji tego wsparcia określi Rządowy program wyrównywania szans edukacyjnych dzieci i młodzieży z Ukrainy „Szkoła dla wszystkich” </w:t>
      </w:r>
      <w:r w:rsidR="006E2BE0" w:rsidRPr="00E46FC0">
        <w:t>w latach szkolnych 2024/2025, 2025/2026 i 2026/2027</w:t>
      </w:r>
      <w:r w:rsidR="00E46FC0">
        <w:t xml:space="preserve">, zwany </w:t>
      </w:r>
      <w:r w:rsidR="00CE7FB3" w:rsidRPr="00E46FC0">
        <w:t xml:space="preserve">dalej </w:t>
      </w:r>
      <w:r w:rsidR="00E46FC0">
        <w:t>„</w:t>
      </w:r>
      <w:r w:rsidR="00CE7FB3" w:rsidRPr="00E46FC0">
        <w:t>Program</w:t>
      </w:r>
      <w:r w:rsidR="00E46FC0">
        <w:t>em”</w:t>
      </w:r>
      <w:r w:rsidRPr="00E46FC0">
        <w:t>, przyjęty przez Radę Ministrów na podstawie art. 90u ust. 1 pkt 1 ustawy z</w:t>
      </w:r>
      <w:r w:rsidR="006E2BE0" w:rsidRPr="00E46FC0">
        <w:t> </w:t>
      </w:r>
      <w:r w:rsidRPr="00E46FC0">
        <w:t xml:space="preserve">dnia 7 września 1991 r. o systemie oświaty </w:t>
      </w:r>
      <w:r w:rsidR="0086747E" w:rsidRPr="00E46FC0">
        <w:t xml:space="preserve">(Dz. U. z 2024 r. poz. 750, </w:t>
      </w:r>
      <w:r w:rsidR="00E46FC0">
        <w:t xml:space="preserve">z </w:t>
      </w:r>
      <w:proofErr w:type="spellStart"/>
      <w:r w:rsidR="00E46FC0">
        <w:t>póżn</w:t>
      </w:r>
      <w:proofErr w:type="spellEnd"/>
      <w:r w:rsidR="00E46FC0">
        <w:t>. zm.).</w:t>
      </w:r>
    </w:p>
    <w:p w14:paraId="6E3AD9B1" w14:textId="1F2AF59F" w:rsidR="00805718" w:rsidRPr="00E46FC0" w:rsidRDefault="00CE7FB3" w:rsidP="00D05DF7">
      <w:pPr>
        <w:spacing w:before="120"/>
        <w:ind w:left="57" w:right="57"/>
        <w:jc w:val="both"/>
      </w:pPr>
      <w:r w:rsidRPr="00E46FC0">
        <w:t>P</w:t>
      </w:r>
      <w:r w:rsidR="00805718" w:rsidRPr="00E46FC0">
        <w:t xml:space="preserve">rogram umożliwi wskazanym podmiotom realizację szeregu działań, mających na celu wsparcie dzieci i młodzieży z Ukrainy, w tym dzieci i młodzieży pochodzenia romskiego oraz z niepełnosprawnościami, w polskim systemie oświaty. Realizacja programu rządowego wpłynie </w:t>
      </w:r>
      <w:r w:rsidR="002D1D1E" w:rsidRPr="00E46FC0">
        <w:t xml:space="preserve">pozytywnie </w:t>
      </w:r>
      <w:r w:rsidR="00805718" w:rsidRPr="00E46FC0">
        <w:t xml:space="preserve">także na sytuację dzieci i młodzieży </w:t>
      </w:r>
      <w:r w:rsidR="00E46FC0">
        <w:t xml:space="preserve">będących </w:t>
      </w:r>
      <w:r w:rsidR="00805718" w:rsidRPr="00E46FC0">
        <w:t>obywatel</w:t>
      </w:r>
      <w:r w:rsidR="00E46FC0">
        <w:t>am</w:t>
      </w:r>
      <w:r w:rsidR="00805718" w:rsidRPr="00E46FC0">
        <w:t xml:space="preserve">i innych państw </w:t>
      </w:r>
      <w:r w:rsidR="00E46FC0">
        <w:t xml:space="preserve">niż Ukraina </w:t>
      </w:r>
      <w:r w:rsidR="00805718" w:rsidRPr="00E46FC0">
        <w:t>w polskiej szkole, posiadających doświadczenie migrac</w:t>
      </w:r>
      <w:r w:rsidR="000D0688" w:rsidRPr="00E46FC0">
        <w:t>ji</w:t>
      </w:r>
      <w:r w:rsidR="00805718" w:rsidRPr="00E46FC0">
        <w:t>.</w:t>
      </w:r>
    </w:p>
    <w:p w14:paraId="0C3BD9A0" w14:textId="440FC185" w:rsidR="00D62699" w:rsidRPr="00E46FC0" w:rsidRDefault="00D62699" w:rsidP="00D05DF7">
      <w:pPr>
        <w:spacing w:before="120"/>
        <w:ind w:left="57" w:right="57"/>
        <w:jc w:val="both"/>
      </w:pPr>
      <w:r w:rsidRPr="00E46FC0">
        <w:t xml:space="preserve">Wsparcie w ramach Programu </w:t>
      </w:r>
      <w:r w:rsidR="00E46FC0" w:rsidRPr="00E46FC0">
        <w:t xml:space="preserve">będzie </w:t>
      </w:r>
      <w:r w:rsidRPr="00E46FC0">
        <w:t>skierowane do dzieci i młodzieży z Ukrainy:</w:t>
      </w:r>
    </w:p>
    <w:p w14:paraId="6566FBD1" w14:textId="3BAEB9E6" w:rsidR="000D0688" w:rsidRPr="00E46FC0" w:rsidRDefault="0086747E" w:rsidP="0086747E">
      <w:pPr>
        <w:pStyle w:val="Akapitzlist"/>
        <w:numPr>
          <w:ilvl w:val="0"/>
          <w:numId w:val="17"/>
        </w:numPr>
        <w:spacing w:before="120"/>
        <w:ind w:right="57"/>
        <w:jc w:val="both"/>
      </w:pPr>
      <w:r w:rsidRPr="00E46FC0">
        <w:t>których pobyt na terytorium Rzeczypospolitej Polskiej jest uznawany za legalny na</w:t>
      </w:r>
      <w:r w:rsidR="00E46FC0">
        <w:t> </w:t>
      </w:r>
      <w:r w:rsidRPr="00E46FC0">
        <w:t>podstawie ustawy z dnia 12 marca 2022 r. o pomocy obywatelom Ukrainy w związku z</w:t>
      </w:r>
      <w:r w:rsidR="00E46FC0">
        <w:t> </w:t>
      </w:r>
      <w:r w:rsidRPr="00E46FC0">
        <w:t xml:space="preserve">konfliktem zbrojnym na terytorium tego państwa, albo którzy przebywają legalnie na </w:t>
      </w:r>
      <w:r w:rsidRPr="00E46FC0">
        <w:lastRenderedPageBreak/>
        <w:t>terytorium Rzeczypospolitej Polskiej, w przypadku gdy przybyli na terytorium Rzeczypospolitej Polskiej z terytorium Ukrainy od dnia 24 lutego 2022 r. w związku z działaniami wojennymi prowadzonymi na terytorium tego państwa,</w:t>
      </w:r>
    </w:p>
    <w:p w14:paraId="5B94F39F" w14:textId="2D1FE670" w:rsidR="000D0688" w:rsidRPr="00E46FC0" w:rsidRDefault="000D0688" w:rsidP="00D05DF7">
      <w:pPr>
        <w:pStyle w:val="Akapitzlist"/>
        <w:numPr>
          <w:ilvl w:val="0"/>
          <w:numId w:val="17"/>
        </w:numPr>
        <w:spacing w:before="120"/>
        <w:ind w:right="57"/>
        <w:jc w:val="both"/>
      </w:pPr>
      <w:r w:rsidRPr="00E46FC0">
        <w:t>którzy realizują obowiązek szkolny albo obowiązek nauki w polskim systemie oświaty</w:t>
      </w:r>
      <w:r w:rsidR="00B242E5" w:rsidRPr="00E46FC0">
        <w:t>,</w:t>
      </w:r>
    </w:p>
    <w:p w14:paraId="01CAF36B" w14:textId="3AF3B258" w:rsidR="00B242E5" w:rsidRPr="00E46FC0" w:rsidRDefault="00B242E5" w:rsidP="00B242E5">
      <w:pPr>
        <w:pStyle w:val="Akapitzlist"/>
        <w:numPr>
          <w:ilvl w:val="0"/>
          <w:numId w:val="17"/>
        </w:numPr>
        <w:jc w:val="both"/>
      </w:pPr>
      <w:r w:rsidRPr="00E46FC0">
        <w:t>którzy zostali wpisani na listę uczniów w szkole oraz zostali przypisani do oddziału podstawowego lub przygotowawczego w bazie danych systemu informacji oświatowej (SIO)</w:t>
      </w:r>
      <w:r w:rsidR="00E46FC0">
        <w:t>,</w:t>
      </w:r>
      <w:r w:rsidR="00E46FC0" w:rsidRPr="00E46FC0">
        <w:t xml:space="preserve"> o któr</w:t>
      </w:r>
      <w:r w:rsidR="00E46FC0">
        <w:t>ym</w:t>
      </w:r>
      <w:r w:rsidR="00E46FC0" w:rsidRPr="00E46FC0">
        <w:t xml:space="preserve"> mowa w ustawie z dnia 15 kwietnia 2011 r. o systemie informacji oświatowej (Dz. U. z 2024 r. poz. 152, z </w:t>
      </w:r>
      <w:proofErr w:type="spellStart"/>
      <w:r w:rsidR="00E46FC0" w:rsidRPr="00E46FC0">
        <w:t>późn</w:t>
      </w:r>
      <w:proofErr w:type="spellEnd"/>
      <w:r w:rsidR="00E46FC0" w:rsidRPr="00E46FC0">
        <w:t>. zm.)</w:t>
      </w:r>
      <w:r w:rsidRPr="00E46FC0">
        <w:t>.</w:t>
      </w:r>
    </w:p>
    <w:p w14:paraId="47A8BC42" w14:textId="26E90C93" w:rsidR="00D05DF7" w:rsidRPr="00E46FC0" w:rsidRDefault="00B0198C" w:rsidP="00D05DF7">
      <w:pPr>
        <w:suppressAutoHyphens/>
        <w:spacing w:before="120"/>
        <w:contextualSpacing/>
        <w:jc w:val="both"/>
        <w:rPr>
          <w:rFonts w:eastAsia="Helvetica"/>
          <w:color w:val="000000"/>
        </w:rPr>
      </w:pPr>
      <w:r w:rsidRPr="00E46FC0">
        <w:rPr>
          <w:rFonts w:eastAsia="Helvetica"/>
          <w:color w:val="000000"/>
        </w:rPr>
        <w:t>Program będzie realizowany w latach szkolnych 2024/2025, 2025/2026 i 2026/2027, tj. do dnia 31 sierpnia 2027 r.</w:t>
      </w:r>
    </w:p>
    <w:p w14:paraId="1601E26C" w14:textId="77777777" w:rsidR="00E46FC0" w:rsidRDefault="00E46FC0" w:rsidP="00B0198C">
      <w:pPr>
        <w:suppressAutoHyphens/>
        <w:spacing w:before="120"/>
        <w:contextualSpacing/>
        <w:jc w:val="both"/>
        <w:rPr>
          <w:rFonts w:eastAsia="Helvetica"/>
          <w:bCs/>
          <w:color w:val="000000"/>
        </w:rPr>
      </w:pPr>
    </w:p>
    <w:p w14:paraId="22F725D3" w14:textId="4479F6E7" w:rsidR="00B0198C" w:rsidRPr="00E46FC0" w:rsidRDefault="00B0198C" w:rsidP="00B0198C">
      <w:pPr>
        <w:suppressAutoHyphens/>
        <w:spacing w:before="120"/>
        <w:contextualSpacing/>
        <w:jc w:val="both"/>
        <w:rPr>
          <w:rFonts w:eastAsia="Helvetica"/>
          <w:bCs/>
          <w:color w:val="000000"/>
        </w:rPr>
      </w:pPr>
      <w:r w:rsidRPr="00E46FC0">
        <w:rPr>
          <w:rFonts w:eastAsia="Helvetica"/>
          <w:bCs/>
          <w:color w:val="000000"/>
        </w:rPr>
        <w:t>Program będzie realizowany w ramach trzech modułów:</w:t>
      </w:r>
    </w:p>
    <w:p w14:paraId="24188C9A" w14:textId="77777777" w:rsidR="00B0198C" w:rsidRPr="00E46FC0" w:rsidRDefault="00B0198C" w:rsidP="00D05DF7">
      <w:pPr>
        <w:suppressAutoHyphens/>
        <w:spacing w:before="120"/>
        <w:contextualSpacing/>
        <w:jc w:val="both"/>
        <w:rPr>
          <w:rFonts w:eastAsia="Helvetica"/>
          <w:color w:val="000000"/>
        </w:rPr>
      </w:pPr>
    </w:p>
    <w:p w14:paraId="439B9890" w14:textId="77777777" w:rsidR="00B0198C" w:rsidRPr="00E46FC0" w:rsidRDefault="00B0198C" w:rsidP="00B0198C">
      <w:pPr>
        <w:numPr>
          <w:ilvl w:val="0"/>
          <w:numId w:val="32"/>
        </w:numPr>
        <w:suppressAutoHyphens/>
        <w:spacing w:before="120"/>
        <w:contextualSpacing/>
        <w:jc w:val="both"/>
        <w:rPr>
          <w:rFonts w:eastAsia="Helvetica"/>
          <w:bCs/>
          <w:color w:val="000000"/>
        </w:rPr>
      </w:pPr>
      <w:r w:rsidRPr="00E46FC0">
        <w:rPr>
          <w:rFonts w:eastAsia="Helvetica"/>
          <w:bCs/>
          <w:color w:val="000000"/>
        </w:rPr>
        <w:t>Moduł I pn. Asystent międzykulturowy;</w:t>
      </w:r>
    </w:p>
    <w:p w14:paraId="4338A5ED" w14:textId="77777777" w:rsidR="00B0198C" w:rsidRPr="00E46FC0" w:rsidRDefault="00B0198C" w:rsidP="00B0198C">
      <w:pPr>
        <w:numPr>
          <w:ilvl w:val="0"/>
          <w:numId w:val="32"/>
        </w:numPr>
        <w:suppressAutoHyphens/>
        <w:spacing w:before="120"/>
        <w:contextualSpacing/>
        <w:jc w:val="both"/>
        <w:rPr>
          <w:rFonts w:eastAsia="Helvetica"/>
          <w:bCs/>
          <w:color w:val="000000"/>
        </w:rPr>
      </w:pPr>
      <w:r w:rsidRPr="00E46FC0">
        <w:rPr>
          <w:rFonts w:eastAsia="Helvetica"/>
          <w:bCs/>
          <w:color w:val="000000"/>
        </w:rPr>
        <w:t>Moduł II pn. Dobrostan społeczności szkolnej;</w:t>
      </w:r>
    </w:p>
    <w:p w14:paraId="6F42583A" w14:textId="77777777" w:rsidR="00B0198C" w:rsidRPr="00E46FC0" w:rsidRDefault="00B0198C" w:rsidP="00B0198C">
      <w:pPr>
        <w:numPr>
          <w:ilvl w:val="0"/>
          <w:numId w:val="32"/>
        </w:numPr>
        <w:suppressAutoHyphens/>
        <w:spacing w:before="120"/>
        <w:contextualSpacing/>
        <w:jc w:val="both"/>
        <w:rPr>
          <w:rFonts w:eastAsia="Helvetica"/>
          <w:bCs/>
          <w:color w:val="000000"/>
        </w:rPr>
      </w:pPr>
      <w:r w:rsidRPr="00E46FC0">
        <w:rPr>
          <w:rFonts w:eastAsia="Helvetica"/>
          <w:bCs/>
          <w:color w:val="000000"/>
        </w:rPr>
        <w:t>Moduł III pn. Doskonalenie kadr systemu oświaty.</w:t>
      </w:r>
    </w:p>
    <w:p w14:paraId="3638FF01" w14:textId="77777777" w:rsidR="00B0198C" w:rsidRPr="00E46FC0" w:rsidRDefault="00B0198C" w:rsidP="00D05DF7">
      <w:pPr>
        <w:suppressAutoHyphens/>
        <w:spacing w:before="120"/>
        <w:contextualSpacing/>
        <w:jc w:val="both"/>
        <w:rPr>
          <w:rFonts w:eastAsia="Helvetica"/>
          <w:color w:val="000000"/>
        </w:rPr>
      </w:pPr>
    </w:p>
    <w:p w14:paraId="54052458" w14:textId="28E3AFEE" w:rsidR="00D05DF7" w:rsidRPr="00E46FC0" w:rsidRDefault="00D05DF7" w:rsidP="00D05DF7">
      <w:pPr>
        <w:pStyle w:val="Akapitzlist"/>
        <w:numPr>
          <w:ilvl w:val="0"/>
          <w:numId w:val="21"/>
        </w:numPr>
        <w:spacing w:before="120"/>
        <w:ind w:right="57"/>
        <w:jc w:val="both"/>
      </w:pPr>
      <w:r w:rsidRPr="00E46FC0">
        <w:t>Moduł I pn. Asystent międzykulturowy.</w:t>
      </w:r>
    </w:p>
    <w:p w14:paraId="32BCB4D9" w14:textId="3B14C7DB" w:rsidR="00D05DF7" w:rsidRPr="00E46FC0" w:rsidRDefault="00D05DF7" w:rsidP="00D05DF7">
      <w:pPr>
        <w:spacing w:before="120"/>
        <w:ind w:right="57"/>
        <w:jc w:val="both"/>
      </w:pPr>
      <w:r w:rsidRPr="00E46FC0">
        <w:t xml:space="preserve">Celem </w:t>
      </w:r>
      <w:r w:rsidR="004D08B1">
        <w:t>modułu I</w:t>
      </w:r>
      <w:r w:rsidR="004D08B1" w:rsidRPr="00E46FC0">
        <w:t xml:space="preserve"> </w:t>
      </w:r>
      <w:r w:rsidR="004D08B1">
        <w:t xml:space="preserve">Programu </w:t>
      </w:r>
      <w:r w:rsidRPr="00E46FC0">
        <w:t>jest wsparcie wprowadzania do szkół funkcji asystenta międzykulturowego, o</w:t>
      </w:r>
      <w:r w:rsidR="00CF0413">
        <w:t> </w:t>
      </w:r>
      <w:r w:rsidRPr="00E46FC0">
        <w:t>którym mowa w art. 165 ust. 8a ustawy z dnia 14 grudnia 2016 r. – Prawo oświatowe</w:t>
      </w:r>
      <w:r w:rsidR="00CF0413">
        <w:t xml:space="preserve"> (Dz. U. z 2024 r. poz. 737, z </w:t>
      </w:r>
      <w:proofErr w:type="spellStart"/>
      <w:r w:rsidR="00CF0413">
        <w:t>późn</w:t>
      </w:r>
      <w:proofErr w:type="spellEnd"/>
      <w:r w:rsidR="00CF0413">
        <w:t>. zm.)</w:t>
      </w:r>
      <w:r w:rsidRPr="00E46FC0">
        <w:t>, przez wsparcie finansowe organów prowadzących szkoły, w</w:t>
      </w:r>
      <w:r w:rsidR="00CF0413">
        <w:t> </w:t>
      </w:r>
      <w:r w:rsidRPr="00E46FC0">
        <w:t xml:space="preserve">których uczniowie i uczennice będący obywatelami Ukrainy spełniają obowiązek szkolny lub obowiązek nauki, w zatrudnieniu asystentów międzykulturowych. </w:t>
      </w:r>
    </w:p>
    <w:p w14:paraId="0C72B137" w14:textId="2743EFA8" w:rsidR="00D05DF7" w:rsidRPr="00E46FC0" w:rsidRDefault="00CF0413" w:rsidP="00D05DF7">
      <w:pPr>
        <w:spacing w:before="120"/>
        <w:ind w:right="57"/>
        <w:jc w:val="both"/>
      </w:pPr>
      <w:r w:rsidRPr="00CF0413">
        <w:t>Wsparcie finansowe</w:t>
      </w:r>
      <w:r w:rsidR="00D05DF7" w:rsidRPr="00E46FC0">
        <w:t xml:space="preserve"> na dofinansowanie zatrudnienia asystenta międzykulturowego mogą otrzymać następujące organy prowadzące szkoły:</w:t>
      </w:r>
    </w:p>
    <w:p w14:paraId="2705504A" w14:textId="666BD74D" w:rsidR="00D05DF7" w:rsidRPr="00E46FC0" w:rsidRDefault="00D05DF7" w:rsidP="00B9762E">
      <w:pPr>
        <w:pStyle w:val="Akapitzlist"/>
        <w:numPr>
          <w:ilvl w:val="0"/>
          <w:numId w:val="22"/>
        </w:numPr>
        <w:spacing w:before="120"/>
        <w:ind w:left="426" w:right="57" w:hanging="426"/>
        <w:jc w:val="both"/>
      </w:pPr>
      <w:r w:rsidRPr="00E46FC0">
        <w:t>jednostka samorządu terytorialnego;</w:t>
      </w:r>
    </w:p>
    <w:p w14:paraId="11E60166" w14:textId="2796684A" w:rsidR="00D05DF7" w:rsidRPr="00E46FC0" w:rsidRDefault="00D05DF7" w:rsidP="00B9762E">
      <w:pPr>
        <w:pStyle w:val="Akapitzlist"/>
        <w:numPr>
          <w:ilvl w:val="0"/>
          <w:numId w:val="22"/>
        </w:numPr>
        <w:spacing w:before="120"/>
        <w:ind w:left="426" w:right="57" w:hanging="426"/>
        <w:jc w:val="both"/>
      </w:pPr>
      <w:r w:rsidRPr="00E46FC0">
        <w:t>osoba prawna</w:t>
      </w:r>
      <w:r w:rsidR="0086747E" w:rsidRPr="00E46FC0">
        <w:t xml:space="preserve"> inna</w:t>
      </w:r>
      <w:r w:rsidRPr="00E46FC0">
        <w:t xml:space="preserve"> niż jednostka samorządu terytorialnego;</w:t>
      </w:r>
    </w:p>
    <w:p w14:paraId="3FD069B7" w14:textId="5E6CF1D3" w:rsidR="00D05DF7" w:rsidRPr="00E46FC0" w:rsidRDefault="00D05DF7" w:rsidP="00B9762E">
      <w:pPr>
        <w:pStyle w:val="Akapitzlist"/>
        <w:numPr>
          <w:ilvl w:val="0"/>
          <w:numId w:val="22"/>
        </w:numPr>
        <w:spacing w:before="120"/>
        <w:ind w:left="426" w:right="57" w:hanging="426"/>
        <w:jc w:val="both"/>
      </w:pPr>
      <w:r w:rsidRPr="00E46FC0">
        <w:t>osoba fizyczna;</w:t>
      </w:r>
    </w:p>
    <w:p w14:paraId="39746C25" w14:textId="5DD2E2CE" w:rsidR="00D05DF7" w:rsidRPr="00E46FC0" w:rsidRDefault="0086747E" w:rsidP="00B9762E">
      <w:pPr>
        <w:pStyle w:val="Akapitzlist"/>
        <w:numPr>
          <w:ilvl w:val="0"/>
          <w:numId w:val="22"/>
        </w:numPr>
        <w:spacing w:before="120"/>
        <w:ind w:left="426" w:right="57" w:hanging="426"/>
        <w:jc w:val="both"/>
      </w:pPr>
      <w:r w:rsidRPr="00E46FC0">
        <w:t xml:space="preserve">właściwy </w:t>
      </w:r>
      <w:r w:rsidR="00D05DF7" w:rsidRPr="00E46FC0">
        <w:t>minister, tj.:</w:t>
      </w:r>
    </w:p>
    <w:p w14:paraId="4265990A" w14:textId="0BF76FDE" w:rsidR="00D05DF7" w:rsidRPr="00E46FC0" w:rsidRDefault="00D05DF7" w:rsidP="00B9762E">
      <w:pPr>
        <w:pStyle w:val="Akapitzlist"/>
        <w:numPr>
          <w:ilvl w:val="0"/>
          <w:numId w:val="34"/>
        </w:numPr>
        <w:spacing w:before="120"/>
        <w:ind w:left="851" w:right="57" w:hanging="425"/>
        <w:jc w:val="both"/>
      </w:pPr>
      <w:r w:rsidRPr="00E46FC0">
        <w:t>minister właściwy do spraw kultury i ochrony dziedzictwa narodowego</w:t>
      </w:r>
      <w:r w:rsidR="00B47E0C">
        <w:t>,</w:t>
      </w:r>
    </w:p>
    <w:p w14:paraId="4EACE70E" w14:textId="2E8B3BD7" w:rsidR="00D05DF7" w:rsidRPr="00E46FC0" w:rsidRDefault="00D05DF7" w:rsidP="00B9762E">
      <w:pPr>
        <w:pStyle w:val="Akapitzlist"/>
        <w:numPr>
          <w:ilvl w:val="0"/>
          <w:numId w:val="34"/>
        </w:numPr>
        <w:spacing w:before="120"/>
        <w:ind w:left="851" w:right="57" w:hanging="425"/>
        <w:jc w:val="both"/>
      </w:pPr>
      <w:r w:rsidRPr="00E46FC0">
        <w:t>minister właściwy do spraw rolnictwa</w:t>
      </w:r>
      <w:r w:rsidR="00B47E0C">
        <w:t>,</w:t>
      </w:r>
    </w:p>
    <w:p w14:paraId="5A28D66E" w14:textId="2E8376AE" w:rsidR="00D05DF7" w:rsidRPr="00E46FC0" w:rsidRDefault="00D05DF7" w:rsidP="00B9762E">
      <w:pPr>
        <w:pStyle w:val="Akapitzlist"/>
        <w:numPr>
          <w:ilvl w:val="0"/>
          <w:numId w:val="34"/>
        </w:numPr>
        <w:spacing w:before="120"/>
        <w:ind w:left="851" w:right="57" w:hanging="425"/>
        <w:jc w:val="both"/>
      </w:pPr>
      <w:r w:rsidRPr="00E46FC0">
        <w:t>minister właściwy do spraw środowiska</w:t>
      </w:r>
      <w:r w:rsidR="00B47E0C">
        <w:t>,</w:t>
      </w:r>
    </w:p>
    <w:p w14:paraId="6BB72BB3" w14:textId="046CC74F" w:rsidR="00D05DF7" w:rsidRPr="00E46FC0" w:rsidRDefault="00D05DF7" w:rsidP="00B9762E">
      <w:pPr>
        <w:pStyle w:val="Akapitzlist"/>
        <w:numPr>
          <w:ilvl w:val="0"/>
          <w:numId w:val="34"/>
        </w:numPr>
        <w:spacing w:before="120"/>
        <w:ind w:left="851" w:right="57" w:hanging="425"/>
        <w:jc w:val="both"/>
      </w:pPr>
      <w:r w:rsidRPr="00E46FC0">
        <w:t>minister właściwy do spraw gospodarki morskiej</w:t>
      </w:r>
      <w:r w:rsidR="00B47E0C">
        <w:t>,</w:t>
      </w:r>
    </w:p>
    <w:p w14:paraId="6D1467E3" w14:textId="4E7DE61F" w:rsidR="00D05DF7" w:rsidRPr="00E46FC0" w:rsidRDefault="00D05DF7" w:rsidP="00B9762E">
      <w:pPr>
        <w:pStyle w:val="Akapitzlist"/>
        <w:numPr>
          <w:ilvl w:val="0"/>
          <w:numId w:val="34"/>
        </w:numPr>
        <w:spacing w:before="120"/>
        <w:ind w:left="851" w:right="57" w:hanging="425"/>
        <w:jc w:val="both"/>
      </w:pPr>
      <w:r w:rsidRPr="00E46FC0">
        <w:t>minister właściwy do spraw żeglugi śródlądowej.</w:t>
      </w:r>
    </w:p>
    <w:p w14:paraId="03C2A025" w14:textId="77777777" w:rsidR="004D08B1" w:rsidRDefault="004D08B1" w:rsidP="004D08B1">
      <w:pPr>
        <w:suppressAutoHyphens/>
        <w:spacing w:before="120"/>
        <w:jc w:val="both"/>
        <w:rPr>
          <w:color w:val="000000"/>
        </w:rPr>
      </w:pPr>
      <w:r>
        <w:rPr>
          <w:color w:val="000000"/>
        </w:rPr>
        <w:t>Katalog szkół, w których na zatrudnienie asystenta międzykulturowego można uzyskać wsparcie finansowe w ramach modułu I Programu, obejmuje:</w:t>
      </w:r>
    </w:p>
    <w:p w14:paraId="5C865CD2" w14:textId="2E2485EA" w:rsidR="004D08B1" w:rsidRDefault="004D08B1" w:rsidP="004D08B1">
      <w:pPr>
        <w:pStyle w:val="Akapitzlist"/>
        <w:numPr>
          <w:ilvl w:val="0"/>
          <w:numId w:val="35"/>
        </w:numPr>
        <w:spacing w:after="120"/>
        <w:ind w:left="426" w:right="57" w:hanging="422"/>
        <w:jc w:val="both"/>
      </w:pPr>
      <w:r w:rsidRPr="00E424FC">
        <w:t xml:space="preserve">publiczne i niepubliczne szkoły podstawowe dla dzieci i młodzieży, o których mowa </w:t>
      </w:r>
      <w:r w:rsidR="00B9762E">
        <w:br/>
      </w:r>
      <w:r w:rsidRPr="00E424FC">
        <w:t>w art.</w:t>
      </w:r>
      <w:r>
        <w:t> </w:t>
      </w:r>
      <w:r w:rsidRPr="00E424FC">
        <w:t>2 pkt 2 lit. a ustawy z dnia 14 grudnia 2016 r. – Prawo oświatowe</w:t>
      </w:r>
      <w:r>
        <w:t>;</w:t>
      </w:r>
    </w:p>
    <w:p w14:paraId="29A3C9A9" w14:textId="77777777" w:rsidR="004D08B1" w:rsidRDefault="004D08B1" w:rsidP="004D08B1">
      <w:pPr>
        <w:pStyle w:val="Akapitzlist"/>
        <w:numPr>
          <w:ilvl w:val="0"/>
          <w:numId w:val="35"/>
        </w:numPr>
        <w:spacing w:after="120"/>
        <w:ind w:left="426" w:right="57" w:hanging="422"/>
        <w:jc w:val="both"/>
      </w:pPr>
      <w:r w:rsidRPr="00E424FC">
        <w:t>publiczne szkoły artystyczne realizujące kształcenie ogólne w zakresie szkoły podstawowej</w:t>
      </w:r>
      <w:r>
        <w:t>;</w:t>
      </w:r>
    </w:p>
    <w:p w14:paraId="0B7C19BC" w14:textId="77777777" w:rsidR="004D08B1" w:rsidRDefault="004D08B1" w:rsidP="004D08B1">
      <w:pPr>
        <w:pStyle w:val="Akapitzlist"/>
        <w:numPr>
          <w:ilvl w:val="0"/>
          <w:numId w:val="35"/>
        </w:numPr>
        <w:spacing w:after="120"/>
        <w:ind w:left="426" w:right="57" w:hanging="422"/>
        <w:jc w:val="both"/>
      </w:pPr>
      <w:r w:rsidRPr="00E424FC">
        <w:t>publiczne i niepubliczne szkoły ponadpodstawowe dla dzieci i młodzieży (licea ogólnokształcące, technika, branżowe szkoły I stopnia, szkoły specjalne przysposabiające do pracy), o których mowa w art. 2 pkt 2 lit. b ustawy z dnia 14 grudnia 2016 r. – Prawo oświatowe</w:t>
      </w:r>
      <w:r>
        <w:t>;</w:t>
      </w:r>
    </w:p>
    <w:p w14:paraId="32F403C2" w14:textId="77777777" w:rsidR="004D08B1" w:rsidRPr="00E424FC" w:rsidRDefault="004D08B1" w:rsidP="004D08B1">
      <w:pPr>
        <w:pStyle w:val="Akapitzlist"/>
        <w:numPr>
          <w:ilvl w:val="0"/>
          <w:numId w:val="35"/>
        </w:numPr>
        <w:spacing w:after="120"/>
        <w:ind w:left="426" w:right="57" w:hanging="422"/>
        <w:jc w:val="both"/>
      </w:pPr>
      <w:r w:rsidRPr="00E424FC">
        <w:t>publiczne i niepubliczne szkoły artystyczne realizujące kształcenie ogólne w zakresie liceum ogólnokształcącego</w:t>
      </w:r>
      <w:r>
        <w:t>.</w:t>
      </w:r>
    </w:p>
    <w:p w14:paraId="433E8471" w14:textId="77777777" w:rsidR="004D08B1" w:rsidRDefault="004D08B1" w:rsidP="00B0198C">
      <w:pPr>
        <w:spacing w:before="120"/>
        <w:ind w:right="57"/>
        <w:jc w:val="both"/>
        <w:rPr>
          <w:bCs/>
        </w:rPr>
      </w:pPr>
    </w:p>
    <w:p w14:paraId="3A7510DE" w14:textId="35E592D3" w:rsidR="00B0198C" w:rsidRPr="00E46FC0" w:rsidRDefault="00B0198C" w:rsidP="00B0198C">
      <w:pPr>
        <w:spacing w:before="120"/>
        <w:ind w:right="57"/>
        <w:jc w:val="both"/>
        <w:rPr>
          <w:bCs/>
        </w:rPr>
      </w:pPr>
      <w:r w:rsidRPr="00E46FC0">
        <w:rPr>
          <w:bCs/>
        </w:rPr>
        <w:lastRenderedPageBreak/>
        <w:t>Maksymalna wysokość dofinansowania zatrudnienia na cały etat jednego asystenta międzykulturowego przez</w:t>
      </w:r>
      <w:r w:rsidR="00E46FC0">
        <w:rPr>
          <w:bCs/>
        </w:rPr>
        <w:t xml:space="preserve"> 12 miesięcy</w:t>
      </w:r>
      <w:r w:rsidRPr="00E46FC0">
        <w:rPr>
          <w:bCs/>
        </w:rPr>
        <w:t xml:space="preserve"> </w:t>
      </w:r>
      <w:r w:rsidR="00CF0413">
        <w:rPr>
          <w:bCs/>
        </w:rPr>
        <w:t>(</w:t>
      </w:r>
      <w:r w:rsidRPr="00E46FC0">
        <w:rPr>
          <w:bCs/>
        </w:rPr>
        <w:t>rok</w:t>
      </w:r>
      <w:r w:rsidR="00CF0413">
        <w:rPr>
          <w:bCs/>
        </w:rPr>
        <w:t xml:space="preserve"> kalendarzowy)</w:t>
      </w:r>
      <w:r w:rsidRPr="00E46FC0">
        <w:rPr>
          <w:bCs/>
        </w:rPr>
        <w:t xml:space="preserve"> stanowi dwunastokrotność kwoty minimalnego miesięcznego poziomu wynagrodzenia zasadniczego ustalonego w kategorii zaszeregowania dla tego stanowiska określonej w rozporządzeniu Rady Ministrów z dnia 25 października 2021 r. w sprawie wynagradzania pracowników samorządowych (Dz. U. poz. 1960, z </w:t>
      </w:r>
      <w:proofErr w:type="spellStart"/>
      <w:r w:rsidRPr="00E46FC0">
        <w:rPr>
          <w:bCs/>
        </w:rPr>
        <w:t>późn</w:t>
      </w:r>
      <w:proofErr w:type="spellEnd"/>
      <w:r w:rsidRPr="00E46FC0">
        <w:rPr>
          <w:bCs/>
        </w:rPr>
        <w:t>. zm.). Od dnia 1 lipca 2024 r. minimalny poziom wynagrodzenia zasadniczego asystenta międzykulturowego wynosi 4 300 zł brutto miesięcznie.</w:t>
      </w:r>
    </w:p>
    <w:p w14:paraId="3814F070" w14:textId="60452EFF" w:rsidR="00B0198C" w:rsidRPr="00E46FC0" w:rsidRDefault="00B0198C" w:rsidP="00B0198C">
      <w:pPr>
        <w:spacing w:before="120"/>
        <w:ind w:right="57"/>
        <w:jc w:val="both"/>
        <w:rPr>
          <w:bCs/>
        </w:rPr>
      </w:pPr>
      <w:r w:rsidRPr="00E46FC0">
        <w:rPr>
          <w:bCs/>
        </w:rPr>
        <w:t>Organy prowadzące szkoły (jednostka samorządu terytorialnego, osoba prawna inna niż jednostka samorządu terytorialnego, osoba fizyczna) wnioskują o udzielenie wsparcia finansowego na dofinansowanie zatrudnienia asystentów międzykulturowych</w:t>
      </w:r>
      <w:r w:rsidRPr="00E46FC0" w:rsidDel="00E939B0">
        <w:rPr>
          <w:bCs/>
        </w:rPr>
        <w:t xml:space="preserve"> </w:t>
      </w:r>
      <w:r w:rsidRPr="00E46FC0">
        <w:rPr>
          <w:bCs/>
        </w:rPr>
        <w:t xml:space="preserve">(w formie dotacji celowej) w ramach naborów ogłaszanych corocznie przez właściwych wojewodów, </w:t>
      </w:r>
      <w:r w:rsidR="00B9762E">
        <w:rPr>
          <w:bCs/>
        </w:rPr>
        <w:br/>
      </w:r>
      <w:r w:rsidRPr="00E46FC0">
        <w:rPr>
          <w:bCs/>
        </w:rPr>
        <w:t>w terminach określonych w harmonogramie realizacji Programu. Kwalifikacji szkół do objęcia wsparciem finansowym na dofinansowanie zatrudnienia asystentów międzykulturowych dokonują wojewodowie.</w:t>
      </w:r>
    </w:p>
    <w:p w14:paraId="1658BFB9" w14:textId="327F03B2" w:rsidR="00B0198C" w:rsidRPr="00E46FC0" w:rsidRDefault="00B0198C" w:rsidP="00B0198C">
      <w:pPr>
        <w:spacing w:before="120"/>
        <w:ind w:right="57"/>
        <w:jc w:val="both"/>
        <w:rPr>
          <w:bCs/>
        </w:rPr>
      </w:pPr>
      <w:r w:rsidRPr="00E46FC0">
        <w:rPr>
          <w:bCs/>
        </w:rPr>
        <w:t>Właściwi ministrowie będący organami prowadzącymi szkoły zgłaszają zapotrzebowanie na</w:t>
      </w:r>
      <w:r w:rsidR="004D08B1">
        <w:rPr>
          <w:bCs/>
        </w:rPr>
        <w:t> </w:t>
      </w:r>
      <w:r w:rsidRPr="00E46FC0">
        <w:rPr>
          <w:bCs/>
        </w:rPr>
        <w:t>środki związane z zatrudnieniem asystenta międzykulturowego do ministra właściwego do</w:t>
      </w:r>
      <w:r w:rsidR="004D08B1">
        <w:rPr>
          <w:bCs/>
        </w:rPr>
        <w:t> </w:t>
      </w:r>
      <w:r w:rsidRPr="00E46FC0">
        <w:rPr>
          <w:bCs/>
        </w:rPr>
        <w:t>spraw oświaty i wychowania. Na podstawie zgłoszonego zapotrzebowania, minister właściwy do spraw oświaty i wychowania przekazuje właściwym ministrom prowadzącym szkoły informację o planowanej w</w:t>
      </w:r>
      <w:r w:rsidR="007C049D" w:rsidRPr="00E46FC0">
        <w:rPr>
          <w:bCs/>
        </w:rPr>
        <w:t>ysokości</w:t>
      </w:r>
      <w:r w:rsidRPr="00E46FC0">
        <w:rPr>
          <w:bCs/>
        </w:rPr>
        <w:t xml:space="preserve"> środków finansowych na realizację Programu w</w:t>
      </w:r>
      <w:r w:rsidR="004D08B1">
        <w:rPr>
          <w:bCs/>
        </w:rPr>
        <w:t> </w:t>
      </w:r>
      <w:r w:rsidRPr="00E46FC0">
        <w:rPr>
          <w:bCs/>
        </w:rPr>
        <w:t>danym roku. Kwalifikacji szkół do objęcia wsparciem finansowym na dofinansowanie zatrudnienia asystentów międzykulturowych dokonują właściwi ministrowie prowadzący szkoły.</w:t>
      </w:r>
    </w:p>
    <w:p w14:paraId="65BFD72C" w14:textId="4DBD8BAB" w:rsidR="00B0198C" w:rsidRPr="00E46FC0" w:rsidRDefault="00B0198C" w:rsidP="00B0198C">
      <w:pPr>
        <w:spacing w:before="120"/>
        <w:ind w:right="57"/>
        <w:jc w:val="both"/>
        <w:rPr>
          <w:bCs/>
        </w:rPr>
      </w:pPr>
      <w:r w:rsidRPr="00E46FC0">
        <w:rPr>
          <w:bCs/>
        </w:rPr>
        <w:t>Jeden asystent międzykulturowy obejmuje wsparciem w danej szkole grupę liczącą nie więcej niż 20 uczniów i uczennic z Ukrainy, w której mogą być uwzględnieni również uczniowie z</w:t>
      </w:r>
      <w:r w:rsidR="004D08B1">
        <w:rPr>
          <w:bCs/>
        </w:rPr>
        <w:t> </w:t>
      </w:r>
      <w:r w:rsidRPr="00E46FC0">
        <w:rPr>
          <w:bCs/>
        </w:rPr>
        <w:t xml:space="preserve">niepełnosprawnością. W przypadku większej liczby uczniów i uczennic z Ukrainy w danej szkole, dyrektor tej szkoły może zatrudnić asystenta na każdą rozpoczętą 20-osobową grupę. </w:t>
      </w:r>
    </w:p>
    <w:p w14:paraId="188E0084" w14:textId="7BA40E50" w:rsidR="004D08B1" w:rsidRDefault="00B0198C" w:rsidP="00B0198C">
      <w:pPr>
        <w:spacing w:before="120"/>
        <w:ind w:right="57"/>
        <w:jc w:val="both"/>
        <w:rPr>
          <w:bCs/>
        </w:rPr>
      </w:pPr>
      <w:r w:rsidRPr="00E46FC0">
        <w:rPr>
          <w:bCs/>
        </w:rPr>
        <w:t>Program umożliwia również udzielenie wsparcia finansowego na dofinansowanie zatrudnienia asystenta międzykulturowego dla ucznia lub uczennicy z Ukrainy pochodzenia romskiego. W</w:t>
      </w:r>
      <w:r w:rsidR="004D08B1">
        <w:rPr>
          <w:bCs/>
        </w:rPr>
        <w:t> </w:t>
      </w:r>
      <w:r w:rsidRPr="00E46FC0">
        <w:rPr>
          <w:bCs/>
        </w:rPr>
        <w:t xml:space="preserve">takim przypadku jeden asystent międzykulturowy będzie przypadał na każdą grupę 10 uczniów i uczennic z Ukrainy pochodzenia romskiego, w której mogą być uwzględnieni również uczniowie z niepełnosprawnością. </w:t>
      </w:r>
    </w:p>
    <w:p w14:paraId="0BAEB151" w14:textId="5FC6022E" w:rsidR="00B0198C" w:rsidRPr="00E46FC0" w:rsidRDefault="00B0198C" w:rsidP="00B0198C">
      <w:pPr>
        <w:spacing w:before="120"/>
        <w:ind w:right="57"/>
        <w:jc w:val="both"/>
        <w:rPr>
          <w:bCs/>
        </w:rPr>
      </w:pPr>
      <w:r w:rsidRPr="00E46FC0">
        <w:rPr>
          <w:bCs/>
        </w:rPr>
        <w:t xml:space="preserve">Dofinansowanie na zatrudnienie zatrudnienia asystenta międzykulturowego jest przyznawane na 12 miesięcy. W każdym kolejnym roku kalendarzowym organy prowadzące szkoły mogą ubiegać się o nowe środki na dofinansowanie zatrudnienia asystenta międzykulturowego </w:t>
      </w:r>
      <w:r w:rsidR="00B9762E">
        <w:rPr>
          <w:bCs/>
        </w:rPr>
        <w:br/>
      </w:r>
      <w:r w:rsidRPr="00E46FC0">
        <w:rPr>
          <w:bCs/>
        </w:rPr>
        <w:t>w szkole.</w:t>
      </w:r>
    </w:p>
    <w:p w14:paraId="7D546919" w14:textId="6E855B8C" w:rsidR="00D05DF7" w:rsidRPr="00E46FC0" w:rsidRDefault="00A53411" w:rsidP="00A53411">
      <w:pPr>
        <w:pStyle w:val="Akapitzlist"/>
        <w:numPr>
          <w:ilvl w:val="0"/>
          <w:numId w:val="21"/>
        </w:numPr>
        <w:spacing w:before="120" w:line="360" w:lineRule="auto"/>
        <w:ind w:right="57"/>
        <w:jc w:val="both"/>
      </w:pPr>
      <w:r w:rsidRPr="00E46FC0">
        <w:t>Moduł II pn. Dobrostan społeczności szkolnej.</w:t>
      </w:r>
    </w:p>
    <w:p w14:paraId="3811024A" w14:textId="28720141" w:rsidR="00B0198C" w:rsidRPr="00E46FC0" w:rsidRDefault="00B0198C" w:rsidP="00B0198C">
      <w:pPr>
        <w:spacing w:before="120"/>
        <w:jc w:val="both"/>
        <w:rPr>
          <w:rFonts w:eastAsiaTheme="minorEastAsia"/>
          <w:color w:val="000000" w:themeColor="text1"/>
        </w:rPr>
      </w:pPr>
      <w:r w:rsidRPr="00E46FC0">
        <w:rPr>
          <w:rFonts w:eastAsia="Calibri"/>
          <w:bCs/>
          <w:color w:val="000000"/>
          <w:spacing w:val="-2"/>
          <w:lang w:eastAsia="en-US"/>
        </w:rPr>
        <w:t xml:space="preserve">Celem modułu II </w:t>
      </w:r>
      <w:r w:rsidR="004D08B1">
        <w:rPr>
          <w:rFonts w:eastAsia="Calibri"/>
          <w:bCs/>
          <w:color w:val="000000"/>
          <w:spacing w:val="-2"/>
          <w:lang w:eastAsia="en-US"/>
        </w:rPr>
        <w:t xml:space="preserve">Programu </w:t>
      </w:r>
      <w:r w:rsidRPr="00E46FC0">
        <w:rPr>
          <w:rFonts w:eastAsia="Calibri"/>
          <w:bCs/>
          <w:color w:val="000000"/>
          <w:spacing w:val="-2"/>
          <w:lang w:eastAsia="en-US"/>
        </w:rPr>
        <w:t>jest podwyższenie poziomu dobrostanu uczniów i uczennic będących obywatelami Ukrainy oraz całości społeczności szkolnej przez realizację różnorodnych form wsparcia kierowanych do uczniów i uczennic z doświadczeniem migracji, ich rodziców lub opiekunów prawnych, w tym osób (podmiotów) sprawujących pieczę zastępczą, a także kadr systemu oświaty w obszarze kształcenia, wychowania i opieki.</w:t>
      </w:r>
      <w:r w:rsidRPr="00E46FC0">
        <w:rPr>
          <w:rFonts w:eastAsiaTheme="minorEastAsia"/>
          <w:color w:val="000000" w:themeColor="text1"/>
        </w:rPr>
        <w:t xml:space="preserve"> </w:t>
      </w:r>
    </w:p>
    <w:p w14:paraId="7F91AD6A" w14:textId="7C407BAB" w:rsidR="00B0198C" w:rsidRPr="00E46FC0" w:rsidRDefault="00B0198C" w:rsidP="00B0198C">
      <w:pPr>
        <w:spacing w:before="120"/>
        <w:jc w:val="both"/>
        <w:rPr>
          <w:rFonts w:eastAsia="Calibri"/>
          <w:bCs/>
          <w:color w:val="000000"/>
          <w:spacing w:val="-2"/>
          <w:lang w:eastAsia="en-US"/>
        </w:rPr>
      </w:pPr>
      <w:r w:rsidRPr="00E46FC0">
        <w:rPr>
          <w:rFonts w:eastAsia="Calibri"/>
          <w:bCs/>
          <w:color w:val="000000"/>
          <w:spacing w:val="-2"/>
          <w:lang w:eastAsia="en-US"/>
        </w:rPr>
        <w:t xml:space="preserve">Na poziomie regionalnym, działania w ramach modułu II Programu będzie realizować operator wojewódzki, tj. organizacja pozarządowa, o której mowa w art. 3 ust. 2 ustawy z dnia 24 kwietnia 2003 r. o działalności pożytku publicznego i o wolontariacie (Dz. U. z 2024 r. poz. 1491), </w:t>
      </w:r>
      <w:r w:rsidR="007C049D" w:rsidRPr="00E46FC0">
        <w:rPr>
          <w:rFonts w:eastAsia="Calibri"/>
          <w:bCs/>
          <w:color w:val="000000"/>
          <w:spacing w:val="-2"/>
          <w:lang w:eastAsia="en-US"/>
        </w:rPr>
        <w:t>wybran</w:t>
      </w:r>
      <w:r w:rsidR="004D08B1">
        <w:rPr>
          <w:rFonts w:eastAsia="Calibri"/>
          <w:bCs/>
          <w:color w:val="000000"/>
          <w:spacing w:val="-2"/>
          <w:lang w:eastAsia="en-US"/>
        </w:rPr>
        <w:t>a</w:t>
      </w:r>
      <w:r w:rsidR="007C049D" w:rsidRPr="00E46FC0">
        <w:rPr>
          <w:rFonts w:eastAsia="Calibri"/>
          <w:bCs/>
          <w:color w:val="000000"/>
          <w:spacing w:val="-2"/>
          <w:lang w:eastAsia="en-US"/>
        </w:rPr>
        <w:t xml:space="preserve"> </w:t>
      </w:r>
      <w:r w:rsidRPr="00E46FC0">
        <w:rPr>
          <w:rFonts w:eastAsia="Calibri"/>
          <w:bCs/>
          <w:color w:val="000000"/>
          <w:spacing w:val="-2"/>
          <w:lang w:eastAsia="en-US"/>
        </w:rPr>
        <w:t>przez wojewodę w trybie określonym w dziale II rozdziale 2 tej ustawy, tj. w trybie konkursowym (otwarty konkurs ofert).</w:t>
      </w:r>
    </w:p>
    <w:p w14:paraId="12B6C83A" w14:textId="414FF146" w:rsidR="00B0198C" w:rsidRPr="00E46FC0" w:rsidRDefault="00B0198C" w:rsidP="00B0198C">
      <w:pPr>
        <w:spacing w:before="120"/>
        <w:jc w:val="both"/>
        <w:rPr>
          <w:rFonts w:eastAsia="Calibri"/>
          <w:bCs/>
          <w:spacing w:val="-2"/>
          <w:lang w:eastAsia="en-US"/>
        </w:rPr>
      </w:pPr>
      <w:r w:rsidRPr="00E46FC0">
        <w:rPr>
          <w:rFonts w:eastAsia="Calibri"/>
          <w:bCs/>
          <w:color w:val="000000"/>
          <w:spacing w:val="-2"/>
          <w:lang w:eastAsia="en-US"/>
        </w:rPr>
        <w:lastRenderedPageBreak/>
        <w:t>Na poziomie centralnym, działania w ramach modułu II Programu będzie realizować Instytut Badań Edukacyjnych w Warszawie na podstawie</w:t>
      </w:r>
      <w:r w:rsidRPr="00E46FC0">
        <w:rPr>
          <w:rFonts w:eastAsia="Calibri"/>
          <w:lang w:eastAsia="en-US"/>
        </w:rPr>
        <w:t xml:space="preserve"> </w:t>
      </w:r>
      <w:r w:rsidRPr="00E46FC0">
        <w:rPr>
          <w:rFonts w:eastAsia="Calibri"/>
          <w:bCs/>
          <w:color w:val="000000"/>
          <w:spacing w:val="-2"/>
          <w:lang w:eastAsia="en-US"/>
        </w:rPr>
        <w:t xml:space="preserve">umowy zawartej przez Instytut Badań Edukacyjnych w Warszawie z ministrem właściwym do spraw oświaty i wychowania na podstawie art. 94ba ust. 1 i 2 ustawy z dnia 7 września 1991 r. o systemie oświaty (Dz. U. z 2024 r. </w:t>
      </w:r>
      <w:r w:rsidRPr="00E46FC0">
        <w:rPr>
          <w:rFonts w:eastAsia="Calibri"/>
          <w:lang w:eastAsia="en-US"/>
        </w:rPr>
        <w:t>poz. 737, z </w:t>
      </w:r>
      <w:proofErr w:type="spellStart"/>
      <w:r w:rsidRPr="00E46FC0">
        <w:rPr>
          <w:rFonts w:eastAsia="Calibri"/>
          <w:lang w:eastAsia="en-US"/>
        </w:rPr>
        <w:t>późn</w:t>
      </w:r>
      <w:proofErr w:type="spellEnd"/>
      <w:r w:rsidRPr="00E46FC0">
        <w:rPr>
          <w:rFonts w:eastAsia="Calibri"/>
          <w:lang w:eastAsia="en-US"/>
        </w:rPr>
        <w:t>. zm.).</w:t>
      </w:r>
      <w:r w:rsidRPr="00E46FC0">
        <w:rPr>
          <w:rFonts w:eastAsia="Calibri"/>
          <w:bCs/>
          <w:spacing w:val="-2"/>
          <w:lang w:eastAsia="en-US"/>
        </w:rPr>
        <w:t xml:space="preserve"> </w:t>
      </w:r>
    </w:p>
    <w:p w14:paraId="092C1158" w14:textId="77777777" w:rsidR="00B0198C" w:rsidRPr="00E46FC0" w:rsidRDefault="00B0198C" w:rsidP="00B0198C">
      <w:pPr>
        <w:spacing w:before="120"/>
        <w:jc w:val="both"/>
        <w:rPr>
          <w:rFonts w:eastAsia="Calibri"/>
          <w:bCs/>
          <w:color w:val="000000"/>
          <w:spacing w:val="-2"/>
          <w:lang w:eastAsia="en-US"/>
        </w:rPr>
      </w:pPr>
      <w:r w:rsidRPr="00E46FC0">
        <w:rPr>
          <w:rFonts w:eastAsia="Calibri"/>
          <w:bCs/>
          <w:spacing w:val="-2"/>
          <w:lang w:eastAsia="en-US"/>
        </w:rPr>
        <w:t xml:space="preserve">Wsparcie w ramach modułu II Programu będzie realizowane w </w:t>
      </w:r>
      <w:r w:rsidRPr="00E46FC0">
        <w:rPr>
          <w:rFonts w:eastAsia="Calibri"/>
          <w:bCs/>
          <w:color w:val="000000"/>
          <w:spacing w:val="-2"/>
          <w:lang w:eastAsia="en-US"/>
        </w:rPr>
        <w:t>szczególności przez:</w:t>
      </w:r>
    </w:p>
    <w:p w14:paraId="7AA22040" w14:textId="3135ADBF" w:rsidR="00B0198C" w:rsidRPr="00E46FC0" w:rsidRDefault="00B0198C" w:rsidP="00B0198C">
      <w:pPr>
        <w:numPr>
          <w:ilvl w:val="0"/>
          <w:numId w:val="33"/>
        </w:numPr>
        <w:spacing w:before="120"/>
        <w:contextualSpacing/>
        <w:jc w:val="both"/>
        <w:rPr>
          <w:rFonts w:eastAsia="Calibri"/>
          <w:bCs/>
          <w:color w:val="000000"/>
          <w:spacing w:val="-2"/>
          <w:lang w:eastAsia="en-US"/>
        </w:rPr>
      </w:pPr>
      <w:r w:rsidRPr="00E46FC0">
        <w:rPr>
          <w:rFonts w:eastAsia="Calibri"/>
          <w:bCs/>
          <w:color w:val="000000"/>
          <w:spacing w:val="-2"/>
          <w:lang w:eastAsia="en-US"/>
        </w:rPr>
        <w:t>zapewnienie konsultacji i doradztwa</w:t>
      </w:r>
      <w:r w:rsidR="004D08B1">
        <w:rPr>
          <w:rFonts w:eastAsia="Calibri"/>
          <w:bCs/>
          <w:color w:val="000000"/>
          <w:spacing w:val="-2"/>
          <w:lang w:eastAsia="en-US"/>
        </w:rPr>
        <w:t>,</w:t>
      </w:r>
    </w:p>
    <w:p w14:paraId="38BC3BCD" w14:textId="73573959" w:rsidR="00B0198C" w:rsidRPr="00E46FC0" w:rsidRDefault="00B0198C" w:rsidP="00B0198C">
      <w:pPr>
        <w:numPr>
          <w:ilvl w:val="0"/>
          <w:numId w:val="33"/>
        </w:numPr>
        <w:spacing w:before="120"/>
        <w:contextualSpacing/>
        <w:jc w:val="both"/>
        <w:rPr>
          <w:rFonts w:eastAsia="Calibri"/>
          <w:bCs/>
          <w:color w:val="000000"/>
          <w:spacing w:val="-2"/>
          <w:lang w:eastAsia="en-US"/>
        </w:rPr>
      </w:pPr>
      <w:r w:rsidRPr="00E46FC0">
        <w:rPr>
          <w:rFonts w:eastAsia="Calibri"/>
          <w:bCs/>
          <w:color w:val="000000"/>
          <w:spacing w:val="-2"/>
          <w:lang w:eastAsia="en-US"/>
        </w:rPr>
        <w:t xml:space="preserve">zapewnienie </w:t>
      </w:r>
      <w:proofErr w:type="spellStart"/>
      <w:r w:rsidRPr="00E46FC0">
        <w:rPr>
          <w:rFonts w:eastAsia="Calibri"/>
          <w:bCs/>
          <w:color w:val="000000"/>
          <w:spacing w:val="-2"/>
          <w:lang w:eastAsia="en-US"/>
        </w:rPr>
        <w:t>superwizji</w:t>
      </w:r>
      <w:proofErr w:type="spellEnd"/>
      <w:r w:rsidR="004D08B1">
        <w:rPr>
          <w:rFonts w:eastAsia="Calibri"/>
          <w:bCs/>
          <w:color w:val="000000"/>
          <w:spacing w:val="-2"/>
          <w:lang w:eastAsia="en-US"/>
        </w:rPr>
        <w:t>,</w:t>
      </w:r>
      <w:r w:rsidRPr="00E46FC0">
        <w:rPr>
          <w:rFonts w:eastAsia="Calibri"/>
          <w:bCs/>
          <w:color w:val="000000"/>
          <w:spacing w:val="-2"/>
          <w:lang w:eastAsia="en-US"/>
        </w:rPr>
        <w:t xml:space="preserve"> </w:t>
      </w:r>
    </w:p>
    <w:p w14:paraId="284EE763" w14:textId="743FF7AD" w:rsidR="00B0198C" w:rsidRPr="00E46FC0" w:rsidRDefault="00B0198C" w:rsidP="00B0198C">
      <w:pPr>
        <w:numPr>
          <w:ilvl w:val="0"/>
          <w:numId w:val="33"/>
        </w:numPr>
        <w:spacing w:before="120"/>
        <w:contextualSpacing/>
        <w:jc w:val="both"/>
        <w:rPr>
          <w:rFonts w:eastAsia="Calibri"/>
          <w:bCs/>
          <w:color w:val="000000"/>
          <w:spacing w:val="-2"/>
          <w:lang w:eastAsia="en-US"/>
        </w:rPr>
      </w:pPr>
      <w:r w:rsidRPr="00E46FC0">
        <w:rPr>
          <w:rFonts w:eastAsia="Calibri"/>
          <w:bCs/>
          <w:color w:val="000000"/>
          <w:spacing w:val="-2"/>
          <w:lang w:eastAsia="en-US"/>
        </w:rPr>
        <w:t>prowadzenie działań informacyjnych</w:t>
      </w:r>
      <w:r w:rsidR="004D08B1">
        <w:rPr>
          <w:rFonts w:eastAsia="Calibri"/>
          <w:bCs/>
          <w:color w:val="000000"/>
          <w:spacing w:val="-2"/>
          <w:lang w:eastAsia="en-US"/>
        </w:rPr>
        <w:t>,</w:t>
      </w:r>
    </w:p>
    <w:p w14:paraId="760F987A" w14:textId="550D9ADD" w:rsidR="00B0198C" w:rsidRPr="00E46FC0" w:rsidRDefault="00B0198C" w:rsidP="00B0198C">
      <w:pPr>
        <w:numPr>
          <w:ilvl w:val="0"/>
          <w:numId w:val="33"/>
        </w:numPr>
        <w:spacing w:before="120"/>
        <w:contextualSpacing/>
        <w:jc w:val="both"/>
        <w:rPr>
          <w:rFonts w:eastAsia="Calibri"/>
          <w:bCs/>
          <w:color w:val="000000"/>
          <w:spacing w:val="-2"/>
          <w:lang w:eastAsia="en-US"/>
        </w:rPr>
      </w:pPr>
      <w:r w:rsidRPr="00E46FC0">
        <w:rPr>
          <w:rFonts w:eastAsia="Calibri"/>
          <w:bCs/>
          <w:color w:val="000000"/>
          <w:spacing w:val="-2"/>
          <w:lang w:eastAsia="en-US"/>
        </w:rPr>
        <w:t>organizację specjalistycznej pomocy psychologicznej</w:t>
      </w:r>
      <w:r w:rsidR="004D08B1">
        <w:rPr>
          <w:rFonts w:eastAsia="Calibri"/>
          <w:bCs/>
          <w:color w:val="000000"/>
          <w:spacing w:val="-2"/>
          <w:lang w:eastAsia="en-US"/>
        </w:rPr>
        <w:t>,</w:t>
      </w:r>
    </w:p>
    <w:p w14:paraId="4F598684" w14:textId="77777777" w:rsidR="00B0198C" w:rsidRPr="00E46FC0" w:rsidRDefault="00B0198C" w:rsidP="00B0198C">
      <w:pPr>
        <w:numPr>
          <w:ilvl w:val="0"/>
          <w:numId w:val="33"/>
        </w:numPr>
        <w:spacing w:before="120"/>
        <w:contextualSpacing/>
        <w:jc w:val="both"/>
        <w:rPr>
          <w:rFonts w:eastAsia="Calibri"/>
          <w:bCs/>
          <w:color w:val="000000"/>
          <w:spacing w:val="-2"/>
          <w:lang w:eastAsia="en-US"/>
        </w:rPr>
      </w:pPr>
      <w:r w:rsidRPr="00E46FC0">
        <w:rPr>
          <w:rFonts w:eastAsia="Calibri"/>
          <w:bCs/>
          <w:color w:val="000000"/>
          <w:spacing w:val="-2"/>
          <w:lang w:eastAsia="en-US"/>
        </w:rPr>
        <w:t>opracowanie standardów diagnostycznych i materiałów metodycznych.</w:t>
      </w:r>
    </w:p>
    <w:p w14:paraId="7AF3E60A" w14:textId="05FAE33C" w:rsidR="00D05DF7" w:rsidRPr="00E46FC0" w:rsidRDefault="00A53411" w:rsidP="00A53411">
      <w:pPr>
        <w:spacing w:before="120"/>
        <w:ind w:right="57"/>
        <w:jc w:val="both"/>
      </w:pPr>
      <w:r w:rsidRPr="00E46FC0">
        <w:t>3.</w:t>
      </w:r>
      <w:r w:rsidRPr="00E46FC0">
        <w:tab/>
        <w:t>Moduł III pn. Doskonalenie kadr systemu oświaty.</w:t>
      </w:r>
    </w:p>
    <w:p w14:paraId="35A679A5" w14:textId="6892ECE0" w:rsidR="00B0198C" w:rsidRPr="00E46FC0" w:rsidRDefault="00B0198C" w:rsidP="00B0198C">
      <w:pPr>
        <w:spacing w:before="120"/>
        <w:ind w:right="57"/>
        <w:jc w:val="both"/>
        <w:rPr>
          <w:bCs/>
        </w:rPr>
      </w:pPr>
      <w:r w:rsidRPr="00E46FC0">
        <w:rPr>
          <w:bCs/>
        </w:rPr>
        <w:t xml:space="preserve">Celem modułu III Programu jest podniesienie kompetencji zawodowych kadry systemu oświaty w celu skutecznej integracji uczniów z różnych środowisk kulturowych, zapewnienia im równych szans edukacyjnych oraz budowania otwartego i wspierającego środowiska szkolnego, przez organizowanie i prowadzenie doskonalenia zawodowego. Odbiorcami działań są przedstawiciele kadry systemu oświaty, w tym asystenci międzykulturowi, o których mowa </w:t>
      </w:r>
      <w:r w:rsidR="00B9762E">
        <w:rPr>
          <w:bCs/>
        </w:rPr>
        <w:br/>
      </w:r>
      <w:r w:rsidRPr="00E46FC0">
        <w:rPr>
          <w:bCs/>
        </w:rPr>
        <w:t xml:space="preserve">w art. 165 ust. 8a ustawy z dnia 14 grudnia 2016 r. </w:t>
      </w:r>
      <w:r w:rsidR="00FC527B" w:rsidRPr="00FC527B">
        <w:rPr>
          <w:bCs/>
        </w:rPr>
        <w:t>–</w:t>
      </w:r>
      <w:r w:rsidRPr="00E46FC0">
        <w:rPr>
          <w:bCs/>
        </w:rPr>
        <w:t xml:space="preserve"> Prawo oświatowe.</w:t>
      </w:r>
    </w:p>
    <w:p w14:paraId="4E958602" w14:textId="4848B25E" w:rsidR="00B0198C" w:rsidRPr="00E46FC0" w:rsidRDefault="00B0198C" w:rsidP="00B0198C">
      <w:pPr>
        <w:spacing w:before="120"/>
        <w:ind w:right="57"/>
        <w:jc w:val="both"/>
        <w:rPr>
          <w:bCs/>
        </w:rPr>
      </w:pPr>
      <w:r w:rsidRPr="00E46FC0">
        <w:rPr>
          <w:bCs/>
        </w:rPr>
        <w:t xml:space="preserve">Działania na poziomie regionalnym będą realizowane przez operatora wojewódzkiego, którego wyboru dokonuje Ośrodek Rozwoju Edukacji w Warszawie (ORE) na podstawie przepisów ustawy z dnia 11 września 2019 r. </w:t>
      </w:r>
      <w:r w:rsidR="00FC527B" w:rsidRPr="00FC527B">
        <w:rPr>
          <w:bCs/>
        </w:rPr>
        <w:t>–</w:t>
      </w:r>
      <w:r w:rsidRPr="00E46FC0">
        <w:rPr>
          <w:bCs/>
        </w:rPr>
        <w:t xml:space="preserve"> Prawo zamówień publicznych (Dz. U. z 2024 r. poz. 1320). Operatorem wojewódzkim jest konsorcjum składające się z organizacji pozarządowej</w:t>
      </w:r>
      <w:r w:rsidRPr="00E46FC0">
        <w:t>, o której mowa w art. 3 ust. 2 ustawy z dnia 24 kwietnia 2003 r. o działalności pożytku publicznego i</w:t>
      </w:r>
      <w:r w:rsidR="00FC527B">
        <w:t> </w:t>
      </w:r>
      <w:r w:rsidRPr="00E46FC0">
        <w:t>o</w:t>
      </w:r>
      <w:r w:rsidR="00FC527B">
        <w:t> </w:t>
      </w:r>
      <w:r w:rsidRPr="00E46FC0">
        <w:t>wolontariacie,</w:t>
      </w:r>
      <w:r w:rsidRPr="00E46FC0">
        <w:rPr>
          <w:bCs/>
        </w:rPr>
        <w:t xml:space="preserve"> i placówki doskonalenia nauczycieli</w:t>
      </w:r>
      <w:r w:rsidRPr="00E46FC0">
        <w:t xml:space="preserve"> </w:t>
      </w:r>
      <w:r w:rsidRPr="00E46FC0">
        <w:rPr>
          <w:bCs/>
        </w:rPr>
        <w:t>posiadającej akredytacj</w:t>
      </w:r>
      <w:r w:rsidR="00F56358" w:rsidRPr="00E46FC0">
        <w:rPr>
          <w:bCs/>
        </w:rPr>
        <w:t>ę</w:t>
      </w:r>
      <w:r w:rsidRPr="00E46FC0">
        <w:rPr>
          <w:bCs/>
        </w:rPr>
        <w:t>, o której mowa w art. 184 ustawy z dnia 14 grudnia 2016 r. – Prawo oświatowe. Operator wojewódzki realizuje szkolenia dla kadr systemu oświaty, dostosowane do potrzeb istniejących w danym województwie, w zakresie tematycznym opracowanym przez ORE.</w:t>
      </w:r>
    </w:p>
    <w:p w14:paraId="6444091A" w14:textId="04EC2B33" w:rsidR="00444927" w:rsidRPr="00FC527B" w:rsidRDefault="00B0198C" w:rsidP="00B0198C">
      <w:pPr>
        <w:spacing w:before="120"/>
        <w:ind w:right="57"/>
        <w:jc w:val="both"/>
      </w:pPr>
      <w:r w:rsidRPr="00E46FC0">
        <w:rPr>
          <w:bCs/>
        </w:rPr>
        <w:t>Na poziomie centralnym, działania realizuje ORE, który przeprowadza szkolenia dla operatorów wojewódzkich we wszystkich obszarach określonych w</w:t>
      </w:r>
      <w:r w:rsidR="00FC527B" w:rsidRPr="00FC527B">
        <w:t xml:space="preserve"> </w:t>
      </w:r>
      <w:r w:rsidR="00FC527B" w:rsidRPr="00FC527B">
        <w:rPr>
          <w:bCs/>
        </w:rPr>
        <w:t>cz. III.3.2</w:t>
      </w:r>
      <w:r w:rsidRPr="00E46FC0">
        <w:rPr>
          <w:bCs/>
        </w:rPr>
        <w:t xml:space="preserve"> Program</w:t>
      </w:r>
      <w:r w:rsidR="00FC527B">
        <w:rPr>
          <w:bCs/>
        </w:rPr>
        <w:t>u</w:t>
      </w:r>
      <w:r w:rsidRPr="00E46FC0">
        <w:rPr>
          <w:bCs/>
        </w:rPr>
        <w:t>, tworzy zintegrowany system wsparcia, koordynując działania zgodnie z ustalonymi standardami, co zapewnia wysoką jakość realizowanych działań. Wyposażając operatorów wojewódzkich w pakiet wiedzy i narzędzi, ORE umożliwia im skuteczne pełnienie roli multiplikatorów oraz liderów wdrażających założenia systemowego wsparcia.</w:t>
      </w:r>
    </w:p>
    <w:p w14:paraId="0A389434" w14:textId="6796293C" w:rsidR="00A53411" w:rsidRPr="00E46FC0" w:rsidRDefault="00A53411" w:rsidP="00B0198C">
      <w:pPr>
        <w:spacing w:before="120"/>
        <w:ind w:right="57"/>
        <w:jc w:val="both"/>
      </w:pPr>
      <w:r w:rsidRPr="00E46FC0">
        <w:rPr>
          <w:bCs/>
        </w:rPr>
        <w:t xml:space="preserve">Program </w:t>
      </w:r>
      <w:r w:rsidR="00F22B15" w:rsidRPr="00E46FC0">
        <w:rPr>
          <w:bCs/>
        </w:rPr>
        <w:t>będzie</w:t>
      </w:r>
      <w:r w:rsidRPr="00E46FC0">
        <w:rPr>
          <w:bCs/>
        </w:rPr>
        <w:t xml:space="preserve"> finansowany </w:t>
      </w:r>
      <w:r w:rsidRPr="00E46FC0">
        <w:t>w ramach Programu Fundusze Europejskie dla Rozwoju Społecznego 2021</w:t>
      </w:r>
      <w:r w:rsidR="00FC527B" w:rsidRPr="00FC527B">
        <w:t>–</w:t>
      </w:r>
      <w:r w:rsidRPr="00E46FC0">
        <w:t xml:space="preserve">2027 (FERS), działanie 04.17 „Wsparcie w edukacji formalnej dzieci </w:t>
      </w:r>
      <w:r w:rsidR="00B9762E">
        <w:br/>
      </w:r>
      <w:r w:rsidRPr="00E46FC0">
        <w:t xml:space="preserve">i młodzieży z Ukrainy objętych obowiązkiem szkolnym i obowiązkiem nauki”. Źródła finansowania Programu to </w:t>
      </w:r>
      <w:r w:rsidR="00FF46B9" w:rsidRPr="00E46FC0">
        <w:t xml:space="preserve">budżet środków europejskich </w:t>
      </w:r>
      <w:r w:rsidRPr="00E46FC0">
        <w:t>oraz</w:t>
      </w:r>
      <w:r w:rsidR="00FF46B9" w:rsidRPr="00E46FC0">
        <w:t xml:space="preserve"> współfinansowanie z budżetu państwa</w:t>
      </w:r>
      <w:r w:rsidRPr="00E46FC0">
        <w:t xml:space="preserve">. </w:t>
      </w:r>
      <w:r w:rsidR="00F22B15" w:rsidRPr="00E46FC0">
        <w:t>Zaplanowano, że w</w:t>
      </w:r>
      <w:r w:rsidRPr="00E46FC0">
        <w:rPr>
          <w:bCs/>
        </w:rPr>
        <w:t xml:space="preserve">ysokość środków finansowych przeznaczonych na realizację działań określonych w Programie </w:t>
      </w:r>
      <w:r w:rsidR="00FC527B" w:rsidRPr="00E46FC0">
        <w:rPr>
          <w:bCs/>
        </w:rPr>
        <w:t xml:space="preserve">będzie </w:t>
      </w:r>
      <w:r w:rsidRPr="00E46FC0">
        <w:rPr>
          <w:bCs/>
        </w:rPr>
        <w:t>wynosi</w:t>
      </w:r>
      <w:r w:rsidR="00F22B15" w:rsidRPr="00E46FC0">
        <w:rPr>
          <w:bCs/>
        </w:rPr>
        <w:t xml:space="preserve">ć </w:t>
      </w:r>
      <w:r w:rsidRPr="00E46FC0">
        <w:rPr>
          <w:bCs/>
        </w:rPr>
        <w:t xml:space="preserve">500 000 000 zł </w:t>
      </w:r>
      <w:r w:rsidRPr="00E46FC0">
        <w:t>i</w:t>
      </w:r>
      <w:r w:rsidR="00F22B15" w:rsidRPr="00E46FC0">
        <w:t xml:space="preserve"> będą to </w:t>
      </w:r>
      <w:r w:rsidRPr="00E46FC0">
        <w:t xml:space="preserve">środki na działania merytoryczne oraz </w:t>
      </w:r>
      <w:r w:rsidR="00B0198C" w:rsidRPr="00E46FC0">
        <w:t xml:space="preserve">obsługę administracyjną w ramach poszczególnych modułów Programu. </w:t>
      </w:r>
      <w:r w:rsidRPr="00E46FC0">
        <w:rPr>
          <w:rFonts w:eastAsia="Helvetica"/>
          <w:color w:val="000000" w:themeColor="text1"/>
        </w:rPr>
        <w:t>Podziału środków finansowych na poszczególne moduły dokonano w następujący sposób:</w:t>
      </w:r>
    </w:p>
    <w:p w14:paraId="3402210C" w14:textId="4314203F" w:rsidR="00A53411" w:rsidRPr="00E46FC0" w:rsidRDefault="00A53411" w:rsidP="00FC527B">
      <w:pPr>
        <w:pStyle w:val="Akapitzlist"/>
        <w:numPr>
          <w:ilvl w:val="0"/>
          <w:numId w:val="27"/>
        </w:numPr>
        <w:suppressAutoHyphens/>
        <w:spacing w:before="120"/>
        <w:ind w:left="284" w:hanging="284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Moduł I</w:t>
      </w:r>
    </w:p>
    <w:p w14:paraId="50BA8A06" w14:textId="06B8D72A" w:rsidR="00A53411" w:rsidRPr="00E46FC0" w:rsidRDefault="00A53411" w:rsidP="00FC527B">
      <w:pPr>
        <w:pStyle w:val="Akapitzlist"/>
        <w:numPr>
          <w:ilvl w:val="0"/>
          <w:numId w:val="26"/>
        </w:numPr>
        <w:suppressAutoHyphens/>
        <w:spacing w:before="120"/>
        <w:ind w:left="567" w:hanging="283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245 mln zł – dla organów prowadzących szkoły innych niż minister,</w:t>
      </w:r>
    </w:p>
    <w:p w14:paraId="1F4DD8A8" w14:textId="77777777" w:rsidR="00A53411" w:rsidRPr="00E46FC0" w:rsidRDefault="00A53411" w:rsidP="00FC527B">
      <w:pPr>
        <w:pStyle w:val="Akapitzlist"/>
        <w:numPr>
          <w:ilvl w:val="0"/>
          <w:numId w:val="26"/>
        </w:numPr>
        <w:suppressAutoHyphens/>
        <w:spacing w:before="120"/>
        <w:ind w:left="567" w:hanging="283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2,4% koszów bezpośrednich wsparcia na obsługę administracyjną (5 880 tys. zł),</w:t>
      </w:r>
    </w:p>
    <w:p w14:paraId="087D5BA8" w14:textId="77777777" w:rsidR="00A53411" w:rsidRPr="00E46FC0" w:rsidRDefault="00A53411" w:rsidP="00FC527B">
      <w:pPr>
        <w:pStyle w:val="Akapitzlist"/>
        <w:numPr>
          <w:ilvl w:val="0"/>
          <w:numId w:val="26"/>
        </w:numPr>
        <w:spacing w:before="120"/>
        <w:ind w:left="567" w:hanging="283"/>
        <w:jc w:val="both"/>
        <w:rPr>
          <w:rFonts w:eastAsia="Helvetica"/>
          <w:color w:val="000000" w:themeColor="text1"/>
          <w:u w:val="single"/>
        </w:rPr>
      </w:pPr>
      <w:r w:rsidRPr="00E46FC0">
        <w:rPr>
          <w:rFonts w:eastAsia="Helvetica"/>
          <w:color w:val="000000" w:themeColor="text1"/>
        </w:rPr>
        <w:t>5 mln zł – dla organów prowadzących szkoły – ministrów,</w:t>
      </w:r>
    </w:p>
    <w:p w14:paraId="4C31FF77" w14:textId="77777777" w:rsidR="00A53411" w:rsidRPr="00E46FC0" w:rsidRDefault="00A53411" w:rsidP="00FC527B">
      <w:pPr>
        <w:pStyle w:val="Akapitzlist"/>
        <w:numPr>
          <w:ilvl w:val="0"/>
          <w:numId w:val="26"/>
        </w:numPr>
        <w:suppressAutoHyphens/>
        <w:spacing w:before="120"/>
        <w:ind w:left="567" w:hanging="283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2,4% koszów bezpośrednich wsparcia na obsługę administracyjną (120 tys. zł).</w:t>
      </w:r>
    </w:p>
    <w:p w14:paraId="3522645A" w14:textId="7DE0F802" w:rsidR="00A53411" w:rsidRPr="00E46FC0" w:rsidRDefault="00A53411" w:rsidP="00FC527B">
      <w:pPr>
        <w:pStyle w:val="Akapitzlist"/>
        <w:numPr>
          <w:ilvl w:val="0"/>
          <w:numId w:val="27"/>
        </w:numPr>
        <w:suppressAutoHyphens/>
        <w:spacing w:before="120"/>
        <w:ind w:left="284" w:hanging="284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 xml:space="preserve">Moduł II </w:t>
      </w:r>
    </w:p>
    <w:p w14:paraId="0370AEA9" w14:textId="77777777" w:rsidR="00A53411" w:rsidRPr="00E46FC0" w:rsidRDefault="00A53411" w:rsidP="00FC527B">
      <w:pPr>
        <w:pStyle w:val="Akapitzlist"/>
        <w:numPr>
          <w:ilvl w:val="0"/>
          <w:numId w:val="28"/>
        </w:numPr>
        <w:suppressAutoHyphens/>
        <w:spacing w:before="120"/>
        <w:ind w:left="567" w:hanging="283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27 mln zł -  dla Instytutu Badań Edukacyjnych w Warszawie,</w:t>
      </w:r>
    </w:p>
    <w:p w14:paraId="14E93455" w14:textId="77777777" w:rsidR="00A53411" w:rsidRPr="00E46FC0" w:rsidRDefault="00A53411" w:rsidP="00FC527B">
      <w:pPr>
        <w:pStyle w:val="Akapitzlist"/>
        <w:numPr>
          <w:ilvl w:val="0"/>
          <w:numId w:val="28"/>
        </w:numPr>
        <w:suppressAutoHyphens/>
        <w:spacing w:before="120"/>
        <w:ind w:left="567" w:hanging="283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lastRenderedPageBreak/>
        <w:t>100 mln zł - dla 16 operatorów wojewódzkich,</w:t>
      </w:r>
    </w:p>
    <w:p w14:paraId="5189576D" w14:textId="25A7BABB" w:rsidR="00A53411" w:rsidRPr="00E46FC0" w:rsidRDefault="00A53411" w:rsidP="00FC527B">
      <w:pPr>
        <w:pStyle w:val="Akapitzlist"/>
        <w:numPr>
          <w:ilvl w:val="0"/>
          <w:numId w:val="28"/>
        </w:numPr>
        <w:suppressAutoHyphens/>
        <w:spacing w:before="120"/>
        <w:ind w:left="567" w:hanging="283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4% kosztów bezpośrednich wsparcia na obsługę administracyjną (4 ml</w:t>
      </w:r>
      <w:r w:rsidR="00CE1413" w:rsidRPr="00E46FC0">
        <w:rPr>
          <w:rFonts w:eastAsia="Helvetica"/>
          <w:color w:val="000000" w:themeColor="text1"/>
        </w:rPr>
        <w:t>n</w:t>
      </w:r>
      <w:r w:rsidRPr="00E46FC0">
        <w:rPr>
          <w:rFonts w:eastAsia="Helvetica"/>
          <w:color w:val="000000" w:themeColor="text1"/>
        </w:rPr>
        <w:t xml:space="preserve"> zł).</w:t>
      </w:r>
    </w:p>
    <w:p w14:paraId="1CEBD36E" w14:textId="5A2E2253" w:rsidR="00A53411" w:rsidRPr="00E46FC0" w:rsidRDefault="00A53411" w:rsidP="00FC527B">
      <w:pPr>
        <w:pStyle w:val="Akapitzlist"/>
        <w:numPr>
          <w:ilvl w:val="0"/>
          <w:numId w:val="27"/>
        </w:numPr>
        <w:suppressAutoHyphens/>
        <w:spacing w:before="120"/>
        <w:ind w:left="284" w:hanging="284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Moduł III</w:t>
      </w:r>
    </w:p>
    <w:p w14:paraId="1E1AECD8" w14:textId="77777777" w:rsidR="00A53411" w:rsidRPr="00E46FC0" w:rsidRDefault="00A53411" w:rsidP="00FC527B">
      <w:pPr>
        <w:pStyle w:val="Akapitzlist"/>
        <w:numPr>
          <w:ilvl w:val="0"/>
          <w:numId w:val="29"/>
        </w:numPr>
        <w:suppressAutoHyphens/>
        <w:spacing w:before="120"/>
        <w:ind w:left="567" w:hanging="283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30 mln zł – dla Ośrodka Rozwoju Edukacji w Warszawie,</w:t>
      </w:r>
    </w:p>
    <w:p w14:paraId="09FCD1B2" w14:textId="77777777" w:rsidR="00A53411" w:rsidRPr="00E46FC0" w:rsidRDefault="00A53411" w:rsidP="00FC527B">
      <w:pPr>
        <w:pStyle w:val="Akapitzlist"/>
        <w:numPr>
          <w:ilvl w:val="0"/>
          <w:numId w:val="29"/>
        </w:numPr>
        <w:suppressAutoHyphens/>
        <w:spacing w:before="120"/>
        <w:ind w:left="567" w:hanging="283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77 mln zł – dla 16 operatorów wojewódzkich.</w:t>
      </w:r>
    </w:p>
    <w:p w14:paraId="4305481F" w14:textId="77777777" w:rsidR="00A53411" w:rsidRPr="00E46FC0" w:rsidRDefault="00A53411" w:rsidP="00A53411">
      <w:pPr>
        <w:suppressAutoHyphens/>
        <w:spacing w:before="120"/>
        <w:jc w:val="both"/>
        <w:rPr>
          <w:rFonts w:eastAsia="Helvetica"/>
          <w:color w:val="000000" w:themeColor="text1"/>
        </w:rPr>
      </w:pPr>
      <w:r w:rsidRPr="00E46FC0">
        <w:rPr>
          <w:rFonts w:eastAsia="Helvetica"/>
          <w:color w:val="000000" w:themeColor="text1"/>
        </w:rPr>
        <w:t>Dodatkowo: 1,2% wartości całości wsparcia (6 mln zł) – dla Ministerstwa Edukacji Narodowej.</w:t>
      </w:r>
    </w:p>
    <w:p w14:paraId="445FFB77" w14:textId="77777777" w:rsidR="00A53411" w:rsidRPr="00E46FC0" w:rsidRDefault="00A53411" w:rsidP="00A53411">
      <w:pPr>
        <w:pStyle w:val="Legenda"/>
        <w:keepNext/>
        <w:spacing w:before="120" w:after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46F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Indykatywny podział alokacji środków finansowych na lata 2025-2027 przedstawia poniższa tabela:</w:t>
      </w:r>
    </w:p>
    <w:tbl>
      <w:tblPr>
        <w:tblStyle w:val="Tabela-Siatka"/>
        <w:tblW w:w="9073" w:type="dxa"/>
        <w:jc w:val="center"/>
        <w:tblLook w:val="04A0" w:firstRow="1" w:lastRow="0" w:firstColumn="1" w:lastColumn="0" w:noHBand="0" w:noVBand="1"/>
      </w:tblPr>
      <w:tblGrid>
        <w:gridCol w:w="1553"/>
        <w:gridCol w:w="1561"/>
        <w:gridCol w:w="4162"/>
        <w:gridCol w:w="1797"/>
      </w:tblGrid>
      <w:tr w:rsidR="00A53411" w:rsidRPr="00E46FC0" w14:paraId="2D135BAA" w14:textId="77777777" w:rsidTr="00B9762E">
        <w:trPr>
          <w:trHeight w:val="637"/>
          <w:jc w:val="center"/>
        </w:trPr>
        <w:tc>
          <w:tcPr>
            <w:tcW w:w="1553" w:type="dxa"/>
          </w:tcPr>
          <w:p w14:paraId="313EDFB8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rok</w:t>
            </w:r>
          </w:p>
        </w:tc>
        <w:tc>
          <w:tcPr>
            <w:tcW w:w="1561" w:type="dxa"/>
          </w:tcPr>
          <w:p w14:paraId="5419675D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alokacja na rok [zł] </w:t>
            </w:r>
          </w:p>
        </w:tc>
        <w:tc>
          <w:tcPr>
            <w:tcW w:w="4162" w:type="dxa"/>
          </w:tcPr>
          <w:p w14:paraId="6D9F4C99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cel alokacji </w:t>
            </w:r>
          </w:p>
        </w:tc>
        <w:tc>
          <w:tcPr>
            <w:tcW w:w="1797" w:type="dxa"/>
          </w:tcPr>
          <w:p w14:paraId="134A866A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alokacja na cel [zł]</w:t>
            </w:r>
          </w:p>
        </w:tc>
      </w:tr>
      <w:tr w:rsidR="00A53411" w:rsidRPr="00E46FC0" w14:paraId="497A9CD0" w14:textId="77777777" w:rsidTr="00B9762E">
        <w:trPr>
          <w:trHeight w:val="335"/>
          <w:jc w:val="center"/>
        </w:trPr>
        <w:tc>
          <w:tcPr>
            <w:tcW w:w="1553" w:type="dxa"/>
            <w:vMerge w:val="restart"/>
          </w:tcPr>
          <w:p w14:paraId="5AB0435A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2025</w:t>
            </w:r>
          </w:p>
        </w:tc>
        <w:tc>
          <w:tcPr>
            <w:tcW w:w="1561" w:type="dxa"/>
            <w:vMerge w:val="restart"/>
          </w:tcPr>
          <w:p w14:paraId="3714AF2F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 172 050 000 </w:t>
            </w:r>
          </w:p>
          <w:p w14:paraId="2F916F99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79730C08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Moduł I Asystent międzykulturowy</w:t>
            </w:r>
          </w:p>
        </w:tc>
        <w:tc>
          <w:tcPr>
            <w:tcW w:w="1797" w:type="dxa"/>
          </w:tcPr>
          <w:p w14:paraId="4DA18BBC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120 000 000 </w:t>
            </w:r>
          </w:p>
        </w:tc>
      </w:tr>
      <w:tr w:rsidR="00A53411" w:rsidRPr="00E46FC0" w14:paraId="0AD9EABD" w14:textId="77777777" w:rsidTr="00B9762E">
        <w:trPr>
          <w:jc w:val="center"/>
        </w:trPr>
        <w:tc>
          <w:tcPr>
            <w:tcW w:w="1553" w:type="dxa"/>
            <w:vMerge/>
          </w:tcPr>
          <w:p w14:paraId="7FDEB884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1E59A1CE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6FA12D6E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Moduł II Dobrostan społeczności szkolnej</w:t>
            </w:r>
          </w:p>
        </w:tc>
        <w:tc>
          <w:tcPr>
            <w:tcW w:w="1797" w:type="dxa"/>
          </w:tcPr>
          <w:p w14:paraId="1558CDC0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28 632 000 </w:t>
            </w:r>
          </w:p>
        </w:tc>
      </w:tr>
      <w:tr w:rsidR="00A53411" w:rsidRPr="00E46FC0" w14:paraId="0C7DAA0F" w14:textId="77777777" w:rsidTr="00B9762E">
        <w:trPr>
          <w:trHeight w:val="50"/>
          <w:jc w:val="center"/>
        </w:trPr>
        <w:tc>
          <w:tcPr>
            <w:tcW w:w="1553" w:type="dxa"/>
            <w:vMerge/>
          </w:tcPr>
          <w:p w14:paraId="650EF9AC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0A8D315A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65AAF274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Moduł III Doskonalenie kadr systemu oświaty</w:t>
            </w:r>
          </w:p>
        </w:tc>
        <w:tc>
          <w:tcPr>
            <w:tcW w:w="1797" w:type="dxa"/>
          </w:tcPr>
          <w:p w14:paraId="6A244526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22 283 000 </w:t>
            </w:r>
          </w:p>
        </w:tc>
      </w:tr>
      <w:tr w:rsidR="00A53411" w:rsidRPr="00E46FC0" w14:paraId="2955EE03" w14:textId="77777777" w:rsidTr="00B9762E">
        <w:trPr>
          <w:trHeight w:val="50"/>
          <w:jc w:val="center"/>
        </w:trPr>
        <w:tc>
          <w:tcPr>
            <w:tcW w:w="1553" w:type="dxa"/>
            <w:vMerge/>
          </w:tcPr>
          <w:p w14:paraId="4BF1C077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147165DB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5D5D471E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>obsługa administracyjna MEN</w:t>
            </w:r>
          </w:p>
        </w:tc>
        <w:tc>
          <w:tcPr>
            <w:tcW w:w="1797" w:type="dxa"/>
          </w:tcPr>
          <w:p w14:paraId="5E7E2B74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 xml:space="preserve">1 135 000 </w:t>
            </w:r>
          </w:p>
        </w:tc>
      </w:tr>
      <w:tr w:rsidR="00A53411" w:rsidRPr="00E46FC0" w14:paraId="15B8659D" w14:textId="77777777" w:rsidTr="00B9762E">
        <w:trPr>
          <w:jc w:val="center"/>
        </w:trPr>
        <w:tc>
          <w:tcPr>
            <w:tcW w:w="1553" w:type="dxa"/>
            <w:vMerge w:val="restart"/>
          </w:tcPr>
          <w:p w14:paraId="6098C001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2026</w:t>
            </w:r>
          </w:p>
        </w:tc>
        <w:tc>
          <w:tcPr>
            <w:tcW w:w="1561" w:type="dxa"/>
            <w:vMerge w:val="restart"/>
          </w:tcPr>
          <w:p w14:paraId="5F0ADB2D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200  000 000 </w:t>
            </w:r>
          </w:p>
        </w:tc>
        <w:tc>
          <w:tcPr>
            <w:tcW w:w="4162" w:type="dxa"/>
          </w:tcPr>
          <w:p w14:paraId="3E872E01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>Moduł I Asystent międzykulturowy</w:t>
            </w:r>
          </w:p>
        </w:tc>
        <w:tc>
          <w:tcPr>
            <w:tcW w:w="1797" w:type="dxa"/>
          </w:tcPr>
          <w:p w14:paraId="62FCC257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 xml:space="preserve">82 000 000 </w:t>
            </w:r>
          </w:p>
        </w:tc>
      </w:tr>
      <w:tr w:rsidR="00A53411" w:rsidRPr="00E46FC0" w14:paraId="26B0AC59" w14:textId="77777777" w:rsidTr="00B9762E">
        <w:trPr>
          <w:jc w:val="center"/>
        </w:trPr>
        <w:tc>
          <w:tcPr>
            <w:tcW w:w="1553" w:type="dxa"/>
            <w:vMerge/>
          </w:tcPr>
          <w:p w14:paraId="5E1F01FD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669C2B76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103C44EE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>Moduł II Dobrostan społeczności szkolnej</w:t>
            </w:r>
          </w:p>
        </w:tc>
        <w:tc>
          <w:tcPr>
            <w:tcW w:w="1797" w:type="dxa"/>
          </w:tcPr>
          <w:p w14:paraId="732D29FC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 xml:space="preserve">64 865 000 </w:t>
            </w:r>
          </w:p>
        </w:tc>
      </w:tr>
      <w:tr w:rsidR="00A53411" w:rsidRPr="00E46FC0" w14:paraId="77257180" w14:textId="77777777" w:rsidTr="00B9762E">
        <w:trPr>
          <w:jc w:val="center"/>
        </w:trPr>
        <w:tc>
          <w:tcPr>
            <w:tcW w:w="1553" w:type="dxa"/>
            <w:vMerge/>
          </w:tcPr>
          <w:p w14:paraId="62D0994A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7795863E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3E4BFAF9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>Moduł III Doskonalenie kadr systemu oświaty</w:t>
            </w:r>
          </w:p>
        </w:tc>
        <w:tc>
          <w:tcPr>
            <w:tcW w:w="1797" w:type="dxa"/>
          </w:tcPr>
          <w:p w14:paraId="03E80571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 xml:space="preserve">52 000 000 </w:t>
            </w:r>
          </w:p>
        </w:tc>
      </w:tr>
      <w:tr w:rsidR="00A53411" w:rsidRPr="00E46FC0" w14:paraId="476AB89B" w14:textId="77777777" w:rsidTr="00B9762E">
        <w:trPr>
          <w:jc w:val="center"/>
        </w:trPr>
        <w:tc>
          <w:tcPr>
            <w:tcW w:w="1553" w:type="dxa"/>
            <w:vMerge/>
          </w:tcPr>
          <w:p w14:paraId="72803734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3BD2C1E6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1F655FB6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>obsługa administracyjna MEN</w:t>
            </w:r>
          </w:p>
        </w:tc>
        <w:tc>
          <w:tcPr>
            <w:tcW w:w="1797" w:type="dxa"/>
          </w:tcPr>
          <w:p w14:paraId="0F1583B7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</w:rPr>
            </w:pPr>
            <w:r w:rsidRPr="00E46FC0">
              <w:rPr>
                <w:rFonts w:ascii="Times New Roman" w:eastAsia="Helvetica" w:hAnsi="Times New Roman" w:cs="Times New Roman"/>
                <w:bCs/>
              </w:rPr>
              <w:t xml:space="preserve">1 135 000 </w:t>
            </w:r>
          </w:p>
        </w:tc>
      </w:tr>
      <w:tr w:rsidR="00A53411" w:rsidRPr="00E46FC0" w14:paraId="21D8C182" w14:textId="77777777" w:rsidTr="00B9762E">
        <w:trPr>
          <w:jc w:val="center"/>
        </w:trPr>
        <w:tc>
          <w:tcPr>
            <w:tcW w:w="1553" w:type="dxa"/>
            <w:vMerge w:val="restart"/>
          </w:tcPr>
          <w:p w14:paraId="6438E3D4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2027</w:t>
            </w:r>
          </w:p>
        </w:tc>
        <w:tc>
          <w:tcPr>
            <w:tcW w:w="1561" w:type="dxa"/>
            <w:vMerge w:val="restart"/>
          </w:tcPr>
          <w:p w14:paraId="75892DD4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127 950 000 </w:t>
            </w:r>
          </w:p>
        </w:tc>
        <w:tc>
          <w:tcPr>
            <w:tcW w:w="4162" w:type="dxa"/>
          </w:tcPr>
          <w:p w14:paraId="2AB01AD9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Moduł I Asystent międzykulturowy</w:t>
            </w:r>
          </w:p>
        </w:tc>
        <w:tc>
          <w:tcPr>
            <w:tcW w:w="1797" w:type="dxa"/>
          </w:tcPr>
          <w:p w14:paraId="4102C1FC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54 000 000 </w:t>
            </w:r>
          </w:p>
        </w:tc>
      </w:tr>
      <w:tr w:rsidR="00A53411" w:rsidRPr="00E46FC0" w14:paraId="0C1E0AC6" w14:textId="77777777" w:rsidTr="00B9762E">
        <w:trPr>
          <w:jc w:val="center"/>
        </w:trPr>
        <w:tc>
          <w:tcPr>
            <w:tcW w:w="1553" w:type="dxa"/>
            <w:vMerge/>
          </w:tcPr>
          <w:p w14:paraId="13844D5B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55984737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4DF0FACC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Moduł II Dobrostan społeczności szkolnej</w:t>
            </w:r>
          </w:p>
        </w:tc>
        <w:tc>
          <w:tcPr>
            <w:tcW w:w="1797" w:type="dxa"/>
          </w:tcPr>
          <w:p w14:paraId="30D23A94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37 503 000 </w:t>
            </w:r>
          </w:p>
        </w:tc>
      </w:tr>
      <w:tr w:rsidR="00A53411" w:rsidRPr="00E46FC0" w14:paraId="619027EA" w14:textId="77777777" w:rsidTr="00B9762E">
        <w:trPr>
          <w:jc w:val="center"/>
        </w:trPr>
        <w:tc>
          <w:tcPr>
            <w:tcW w:w="1553" w:type="dxa"/>
            <w:vMerge/>
          </w:tcPr>
          <w:p w14:paraId="778FFA95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698D3038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687FCB8D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Moduł III Doskonalenie kadr systemu oświaty</w:t>
            </w:r>
          </w:p>
        </w:tc>
        <w:tc>
          <w:tcPr>
            <w:tcW w:w="1797" w:type="dxa"/>
          </w:tcPr>
          <w:p w14:paraId="09B0E00E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32 717 000  </w:t>
            </w:r>
          </w:p>
        </w:tc>
      </w:tr>
      <w:tr w:rsidR="00A53411" w:rsidRPr="00E46FC0" w14:paraId="4FF12C02" w14:textId="77777777" w:rsidTr="00B9762E">
        <w:trPr>
          <w:jc w:val="center"/>
        </w:trPr>
        <w:tc>
          <w:tcPr>
            <w:tcW w:w="1553" w:type="dxa"/>
            <w:vMerge/>
          </w:tcPr>
          <w:p w14:paraId="72582A00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3B5034B7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4162" w:type="dxa"/>
          </w:tcPr>
          <w:p w14:paraId="0F032DEB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obsługa administracyjna MEN</w:t>
            </w:r>
          </w:p>
        </w:tc>
        <w:tc>
          <w:tcPr>
            <w:tcW w:w="1797" w:type="dxa"/>
          </w:tcPr>
          <w:p w14:paraId="08055742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3 730 000 </w:t>
            </w:r>
          </w:p>
        </w:tc>
      </w:tr>
      <w:tr w:rsidR="00A53411" w:rsidRPr="00E46FC0" w14:paraId="43F6F87E" w14:textId="77777777" w:rsidTr="00B9762E">
        <w:trPr>
          <w:trHeight w:val="328"/>
          <w:jc w:val="center"/>
        </w:trPr>
        <w:tc>
          <w:tcPr>
            <w:tcW w:w="1553" w:type="dxa"/>
          </w:tcPr>
          <w:p w14:paraId="723228EF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Razem:</w:t>
            </w:r>
          </w:p>
          <w:p w14:paraId="09593B5C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>2025 -2027</w:t>
            </w:r>
          </w:p>
        </w:tc>
        <w:tc>
          <w:tcPr>
            <w:tcW w:w="1561" w:type="dxa"/>
          </w:tcPr>
          <w:p w14:paraId="3F46E681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500 000 000 </w:t>
            </w:r>
          </w:p>
        </w:tc>
        <w:tc>
          <w:tcPr>
            <w:tcW w:w="4162" w:type="dxa"/>
          </w:tcPr>
          <w:p w14:paraId="1E05B18A" w14:textId="77777777" w:rsidR="00A53411" w:rsidRPr="00E46FC0" w:rsidRDefault="00A53411" w:rsidP="00A53411">
            <w:pPr>
              <w:pStyle w:val="Akapitzlist"/>
              <w:suppressAutoHyphens/>
              <w:spacing w:before="120"/>
              <w:ind w:left="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</w:p>
        </w:tc>
        <w:tc>
          <w:tcPr>
            <w:tcW w:w="1797" w:type="dxa"/>
          </w:tcPr>
          <w:p w14:paraId="5B78CA55" w14:textId="77777777" w:rsidR="00A53411" w:rsidRPr="00E46FC0" w:rsidRDefault="00A53411" w:rsidP="00A53411">
            <w:pPr>
              <w:pStyle w:val="Akapitzlist"/>
              <w:numPr>
                <w:ilvl w:val="2"/>
                <w:numId w:val="30"/>
              </w:numPr>
              <w:suppressAutoHyphens/>
              <w:spacing w:before="120"/>
              <w:ind w:left="320"/>
              <w:jc w:val="both"/>
              <w:rPr>
                <w:rFonts w:ascii="Times New Roman" w:eastAsia="Helvetica" w:hAnsi="Times New Roman" w:cs="Times New Roman"/>
                <w:bCs/>
                <w:color w:val="000000" w:themeColor="text1"/>
              </w:rPr>
            </w:pPr>
            <w:r w:rsidRPr="00E46FC0">
              <w:rPr>
                <w:rFonts w:ascii="Times New Roman" w:eastAsia="Helvetica" w:hAnsi="Times New Roman" w:cs="Times New Roman"/>
                <w:bCs/>
                <w:color w:val="000000" w:themeColor="text1"/>
              </w:rPr>
              <w:t xml:space="preserve"> 000 000 </w:t>
            </w:r>
          </w:p>
        </w:tc>
      </w:tr>
    </w:tbl>
    <w:p w14:paraId="3D47A08D" w14:textId="4F95AD00" w:rsidR="00805718" w:rsidRPr="00E46FC0" w:rsidRDefault="00037E9D" w:rsidP="00A53411">
      <w:pPr>
        <w:spacing w:before="120"/>
        <w:ind w:left="57" w:right="57"/>
        <w:jc w:val="both"/>
      </w:pPr>
      <w:r w:rsidRPr="00E46FC0">
        <w:rPr>
          <w:kern w:val="2"/>
        </w:rPr>
        <w:t>Realizacja Programu nie spowoduje dodatkowych skutków finansowych dla budżetu państwa oraz dla systemu ochrony zdrowia. Ewentualnie skutki finansowe konieczne do pokrycia z</w:t>
      </w:r>
      <w:r w:rsidR="004D08B1">
        <w:rPr>
          <w:kern w:val="2"/>
        </w:rPr>
        <w:t> </w:t>
      </w:r>
      <w:r w:rsidRPr="00E46FC0">
        <w:rPr>
          <w:kern w:val="2"/>
        </w:rPr>
        <w:t>budżetów właściwych ministrów w latach 2025-2027 nie będą stanowiły podstawy do</w:t>
      </w:r>
      <w:r w:rsidR="004D08B1">
        <w:rPr>
          <w:kern w:val="2"/>
        </w:rPr>
        <w:t> </w:t>
      </w:r>
      <w:r w:rsidRPr="00E46FC0">
        <w:rPr>
          <w:kern w:val="2"/>
        </w:rPr>
        <w:t>ubiegania się o dodatkowe środki na ten cel.</w:t>
      </w:r>
    </w:p>
    <w:p w14:paraId="1A5D6896" w14:textId="1834D121" w:rsidR="007E04B9" w:rsidRPr="00E46FC0" w:rsidRDefault="00805718" w:rsidP="00A53411">
      <w:pPr>
        <w:spacing w:before="120"/>
        <w:ind w:left="57" w:right="57"/>
        <w:jc w:val="both"/>
      </w:pPr>
      <w:r w:rsidRPr="00E46FC0">
        <w:t>Uchwała wejdzie w życie z dniem podjęcia.</w:t>
      </w:r>
    </w:p>
    <w:sectPr w:rsidR="007E04B9" w:rsidRPr="00E46FC0" w:rsidSect="00591DD5">
      <w:footerReference w:type="default" r:id="rId8"/>
      <w:pgSz w:w="11907" w:h="16840" w:code="9"/>
      <w:pgMar w:top="1247" w:right="1361" w:bottom="1247" w:left="1361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D83A" w14:textId="77777777" w:rsidR="009C68C8" w:rsidRDefault="009C68C8" w:rsidP="00785E41">
      <w:r>
        <w:separator/>
      </w:r>
    </w:p>
  </w:endnote>
  <w:endnote w:type="continuationSeparator" w:id="0">
    <w:p w14:paraId="221B0B87" w14:textId="77777777" w:rsidR="009C68C8" w:rsidRDefault="009C68C8" w:rsidP="0078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337160"/>
      <w:docPartObj>
        <w:docPartGallery w:val="Page Numbers (Bottom of Page)"/>
        <w:docPartUnique/>
      </w:docPartObj>
    </w:sdtPr>
    <w:sdtContent>
      <w:p w14:paraId="4583A058" w14:textId="0C418656" w:rsidR="00F63C33" w:rsidRDefault="00F63C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B9">
          <w:rPr>
            <w:noProof/>
          </w:rPr>
          <w:t>3</w:t>
        </w:r>
        <w:r>
          <w:fldChar w:fldCharType="end"/>
        </w:r>
      </w:p>
    </w:sdtContent>
  </w:sdt>
  <w:p w14:paraId="65AB3977" w14:textId="77777777" w:rsidR="00785E41" w:rsidRDefault="00785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1F36" w14:textId="77777777" w:rsidR="009C68C8" w:rsidRDefault="009C68C8" w:rsidP="00785E41">
      <w:r>
        <w:separator/>
      </w:r>
    </w:p>
  </w:footnote>
  <w:footnote w:type="continuationSeparator" w:id="0">
    <w:p w14:paraId="0EBC9C63" w14:textId="77777777" w:rsidR="009C68C8" w:rsidRDefault="009C68C8" w:rsidP="0078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A14751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8A1CCA"/>
    <w:multiLevelType w:val="hybridMultilevel"/>
    <w:tmpl w:val="0CF20D3A"/>
    <w:lvl w:ilvl="0" w:tplc="F1AC128C">
      <w:start w:val="1"/>
      <w:numFmt w:val="decimal"/>
      <w:lvlText w:val="%1)"/>
      <w:lvlJc w:val="left"/>
      <w:pPr>
        <w:ind w:left="707" w:hanging="6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E0178E7"/>
    <w:multiLevelType w:val="hybridMultilevel"/>
    <w:tmpl w:val="ECD0A51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219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F4A5A"/>
    <w:multiLevelType w:val="hybridMultilevel"/>
    <w:tmpl w:val="2684E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4319"/>
    <w:multiLevelType w:val="hybridMultilevel"/>
    <w:tmpl w:val="C0F4E88A"/>
    <w:lvl w:ilvl="0" w:tplc="B0DA3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81DBB"/>
    <w:multiLevelType w:val="hybridMultilevel"/>
    <w:tmpl w:val="8C5E8622"/>
    <w:lvl w:ilvl="0" w:tplc="F1AC128C">
      <w:start w:val="1"/>
      <w:numFmt w:val="decimal"/>
      <w:lvlText w:val="%1)"/>
      <w:lvlJc w:val="left"/>
      <w:pPr>
        <w:ind w:left="707" w:hanging="6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4AF5"/>
    <w:multiLevelType w:val="hybridMultilevel"/>
    <w:tmpl w:val="DE920FC4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4CC4E61"/>
    <w:multiLevelType w:val="hybridMultilevel"/>
    <w:tmpl w:val="55C4C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73CC5"/>
    <w:multiLevelType w:val="hybridMultilevel"/>
    <w:tmpl w:val="85FA6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015D9"/>
    <w:multiLevelType w:val="hybridMultilevel"/>
    <w:tmpl w:val="6FD83D10"/>
    <w:lvl w:ilvl="0" w:tplc="2B64054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44D25"/>
    <w:multiLevelType w:val="hybridMultilevel"/>
    <w:tmpl w:val="6CF6A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934AA"/>
    <w:multiLevelType w:val="singleLevel"/>
    <w:tmpl w:val="5360EF68"/>
    <w:lvl w:ilvl="0">
      <w:start w:val="1"/>
      <w:numFmt w:val="decimal"/>
      <w:lvlText w:val="%1)"/>
      <w:legacy w:legacy="1" w:legacySpace="0" w:legacyIndent="33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31817050"/>
    <w:multiLevelType w:val="hybridMultilevel"/>
    <w:tmpl w:val="1BD2B32E"/>
    <w:lvl w:ilvl="0" w:tplc="B0DA3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474A5"/>
    <w:multiLevelType w:val="multilevel"/>
    <w:tmpl w:val="A6F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50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E726E"/>
    <w:multiLevelType w:val="hybridMultilevel"/>
    <w:tmpl w:val="6BF046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63AE3"/>
    <w:multiLevelType w:val="hybridMultilevel"/>
    <w:tmpl w:val="6CF6A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C7B85"/>
    <w:multiLevelType w:val="hybridMultilevel"/>
    <w:tmpl w:val="CCA0935A"/>
    <w:lvl w:ilvl="0" w:tplc="F1AC128C">
      <w:start w:val="1"/>
      <w:numFmt w:val="decimal"/>
      <w:lvlText w:val="%1)"/>
      <w:lvlJc w:val="left"/>
      <w:pPr>
        <w:ind w:left="707" w:hanging="6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747D8"/>
    <w:multiLevelType w:val="hybridMultilevel"/>
    <w:tmpl w:val="D0DAC8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5201F"/>
    <w:multiLevelType w:val="hybridMultilevel"/>
    <w:tmpl w:val="C7909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7350"/>
    <w:multiLevelType w:val="hybridMultilevel"/>
    <w:tmpl w:val="70888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E7E1B"/>
    <w:multiLevelType w:val="hybridMultilevel"/>
    <w:tmpl w:val="6FB886E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0E2B62"/>
    <w:multiLevelType w:val="hybridMultilevel"/>
    <w:tmpl w:val="33884506"/>
    <w:lvl w:ilvl="0" w:tplc="B0DA3FAA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53E112F3"/>
    <w:multiLevelType w:val="hybridMultilevel"/>
    <w:tmpl w:val="3E8E5AB6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548656A4"/>
    <w:multiLevelType w:val="hybridMultilevel"/>
    <w:tmpl w:val="1DB04D52"/>
    <w:lvl w:ilvl="0" w:tplc="B0DA3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04697"/>
    <w:multiLevelType w:val="hybridMultilevel"/>
    <w:tmpl w:val="A7482174"/>
    <w:lvl w:ilvl="0" w:tplc="B0DA3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E66FF"/>
    <w:multiLevelType w:val="hybridMultilevel"/>
    <w:tmpl w:val="3D0A03A2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56CF0D4B"/>
    <w:multiLevelType w:val="hybridMultilevel"/>
    <w:tmpl w:val="34C0097E"/>
    <w:lvl w:ilvl="0" w:tplc="B0DA3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E3EA9"/>
    <w:multiLevelType w:val="hybridMultilevel"/>
    <w:tmpl w:val="28AA7276"/>
    <w:lvl w:ilvl="0" w:tplc="B3F2F8D2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DB4351"/>
    <w:multiLevelType w:val="hybridMultilevel"/>
    <w:tmpl w:val="F67201F2"/>
    <w:lvl w:ilvl="0" w:tplc="A90E24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6E865075"/>
    <w:multiLevelType w:val="hybridMultilevel"/>
    <w:tmpl w:val="9EE2E742"/>
    <w:lvl w:ilvl="0" w:tplc="52D8943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67C30"/>
    <w:multiLevelType w:val="hybridMultilevel"/>
    <w:tmpl w:val="10E45F24"/>
    <w:lvl w:ilvl="0" w:tplc="0415000F">
      <w:start w:val="1"/>
      <w:numFmt w:val="decimal"/>
      <w:lvlText w:val="%1.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1" w15:restartNumberingAfterBreak="0">
    <w:nsid w:val="78663F15"/>
    <w:multiLevelType w:val="hybridMultilevel"/>
    <w:tmpl w:val="ADDEBE7E"/>
    <w:lvl w:ilvl="0" w:tplc="B0DA3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824928"/>
    <w:multiLevelType w:val="hybridMultilevel"/>
    <w:tmpl w:val="C58E5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CC3D32"/>
    <w:multiLevelType w:val="hybridMultilevel"/>
    <w:tmpl w:val="1FFEC3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06FD5"/>
    <w:multiLevelType w:val="hybridMultilevel"/>
    <w:tmpl w:val="F76C77DE"/>
    <w:lvl w:ilvl="0" w:tplc="B0DA3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21483">
    <w:abstractNumId w:val="8"/>
  </w:num>
  <w:num w:numId="2" w16cid:durableId="1591962768">
    <w:abstractNumId w:val="11"/>
    <w:lvlOverride w:ilvl="0">
      <w:startOverride w:val="1"/>
    </w:lvlOverride>
  </w:num>
  <w:num w:numId="3" w16cid:durableId="1002195826">
    <w:abstractNumId w:val="10"/>
  </w:num>
  <w:num w:numId="4" w16cid:durableId="983117918">
    <w:abstractNumId w:val="29"/>
  </w:num>
  <w:num w:numId="5" w16cid:durableId="1071268489">
    <w:abstractNumId w:val="15"/>
  </w:num>
  <w:num w:numId="6" w16cid:durableId="764035327">
    <w:abstractNumId w:val="19"/>
  </w:num>
  <w:num w:numId="7" w16cid:durableId="887642777">
    <w:abstractNumId w:val="20"/>
  </w:num>
  <w:num w:numId="8" w16cid:durableId="723648854">
    <w:abstractNumId w:val="22"/>
  </w:num>
  <w:num w:numId="9" w16cid:durableId="1370840123">
    <w:abstractNumId w:val="25"/>
  </w:num>
  <w:num w:numId="10" w16cid:durableId="1458837927">
    <w:abstractNumId w:val="6"/>
  </w:num>
  <w:num w:numId="11" w16cid:durableId="1222643835">
    <w:abstractNumId w:val="1"/>
  </w:num>
  <w:num w:numId="12" w16cid:durableId="437259428">
    <w:abstractNumId w:val="5"/>
  </w:num>
  <w:num w:numId="13" w16cid:durableId="1689873099">
    <w:abstractNumId w:val="16"/>
  </w:num>
  <w:num w:numId="14" w16cid:durableId="1945333945">
    <w:abstractNumId w:val="28"/>
  </w:num>
  <w:num w:numId="15" w16cid:durableId="501362694">
    <w:abstractNumId w:val="14"/>
  </w:num>
  <w:num w:numId="16" w16cid:durableId="182863333">
    <w:abstractNumId w:val="7"/>
  </w:num>
  <w:num w:numId="17" w16cid:durableId="143930218">
    <w:abstractNumId w:val="21"/>
  </w:num>
  <w:num w:numId="18" w16cid:durableId="973415268">
    <w:abstractNumId w:val="23"/>
  </w:num>
  <w:num w:numId="19" w16cid:durableId="26804554">
    <w:abstractNumId w:val="0"/>
  </w:num>
  <w:num w:numId="20" w16cid:durableId="1874221120">
    <w:abstractNumId w:val="30"/>
  </w:num>
  <w:num w:numId="21" w16cid:durableId="551159245">
    <w:abstractNumId w:val="27"/>
  </w:num>
  <w:num w:numId="22" w16cid:durableId="2108184870">
    <w:abstractNumId w:val="17"/>
  </w:num>
  <w:num w:numId="23" w16cid:durableId="1258755825">
    <w:abstractNumId w:val="31"/>
  </w:num>
  <w:num w:numId="24" w16cid:durableId="883981122">
    <w:abstractNumId w:val="12"/>
  </w:num>
  <w:num w:numId="25" w16cid:durableId="1965846994">
    <w:abstractNumId w:val="2"/>
  </w:num>
  <w:num w:numId="26" w16cid:durableId="79060745">
    <w:abstractNumId w:val="26"/>
  </w:num>
  <w:num w:numId="27" w16cid:durableId="422921254">
    <w:abstractNumId w:val="18"/>
  </w:num>
  <w:num w:numId="28" w16cid:durableId="665519467">
    <w:abstractNumId w:val="34"/>
  </w:num>
  <w:num w:numId="29" w16cid:durableId="892814177">
    <w:abstractNumId w:val="24"/>
  </w:num>
  <w:num w:numId="30" w16cid:durableId="1567449729">
    <w:abstractNumId w:val="13"/>
  </w:num>
  <w:num w:numId="31" w16cid:durableId="842623977">
    <w:abstractNumId w:val="3"/>
  </w:num>
  <w:num w:numId="32" w16cid:durableId="1317496573">
    <w:abstractNumId w:val="32"/>
  </w:num>
  <w:num w:numId="33" w16cid:durableId="2020112290">
    <w:abstractNumId w:val="4"/>
  </w:num>
  <w:num w:numId="34" w16cid:durableId="1806041301">
    <w:abstractNumId w:val="33"/>
  </w:num>
  <w:num w:numId="35" w16cid:durableId="1206674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18b17070-d907-4059-99ea-b29608df6e5a"/>
    <w:docVar w:name="_AMO_XmlVersion" w:val="Empty"/>
  </w:docVars>
  <w:rsids>
    <w:rsidRoot w:val="00785E41"/>
    <w:rsid w:val="000008FB"/>
    <w:rsid w:val="0000162E"/>
    <w:rsid w:val="000065AB"/>
    <w:rsid w:val="00011937"/>
    <w:rsid w:val="00013338"/>
    <w:rsid w:val="00017885"/>
    <w:rsid w:val="00017F44"/>
    <w:rsid w:val="00020DE9"/>
    <w:rsid w:val="00021116"/>
    <w:rsid w:val="00021F9C"/>
    <w:rsid w:val="000364E2"/>
    <w:rsid w:val="00037E9D"/>
    <w:rsid w:val="00040CE2"/>
    <w:rsid w:val="000413C7"/>
    <w:rsid w:val="00051AE2"/>
    <w:rsid w:val="00052D42"/>
    <w:rsid w:val="00064CB2"/>
    <w:rsid w:val="00066EDD"/>
    <w:rsid w:val="0006718D"/>
    <w:rsid w:val="00075196"/>
    <w:rsid w:val="00082884"/>
    <w:rsid w:val="00083640"/>
    <w:rsid w:val="00085B42"/>
    <w:rsid w:val="00094326"/>
    <w:rsid w:val="000B1538"/>
    <w:rsid w:val="000C0623"/>
    <w:rsid w:val="000C5046"/>
    <w:rsid w:val="000C6486"/>
    <w:rsid w:val="000D0688"/>
    <w:rsid w:val="000E1206"/>
    <w:rsid w:val="000E18F0"/>
    <w:rsid w:val="000E2504"/>
    <w:rsid w:val="000E7316"/>
    <w:rsid w:val="000E7FED"/>
    <w:rsid w:val="000F1CF7"/>
    <w:rsid w:val="000F6A5C"/>
    <w:rsid w:val="00104D34"/>
    <w:rsid w:val="00111E04"/>
    <w:rsid w:val="0011267B"/>
    <w:rsid w:val="001210B9"/>
    <w:rsid w:val="0012530E"/>
    <w:rsid w:val="00132EE8"/>
    <w:rsid w:val="00146040"/>
    <w:rsid w:val="00146593"/>
    <w:rsid w:val="00147AC8"/>
    <w:rsid w:val="00150A2C"/>
    <w:rsid w:val="00151592"/>
    <w:rsid w:val="00151823"/>
    <w:rsid w:val="00151DF7"/>
    <w:rsid w:val="0015307D"/>
    <w:rsid w:val="00155A50"/>
    <w:rsid w:val="0015696E"/>
    <w:rsid w:val="00156AD0"/>
    <w:rsid w:val="00162DF4"/>
    <w:rsid w:val="0016554D"/>
    <w:rsid w:val="00181F49"/>
    <w:rsid w:val="00184C85"/>
    <w:rsid w:val="00186DB0"/>
    <w:rsid w:val="001910C5"/>
    <w:rsid w:val="00195355"/>
    <w:rsid w:val="001973C3"/>
    <w:rsid w:val="001A2C41"/>
    <w:rsid w:val="001A3EB1"/>
    <w:rsid w:val="001B5DC4"/>
    <w:rsid w:val="001B66CF"/>
    <w:rsid w:val="001D3309"/>
    <w:rsid w:val="001D5BD1"/>
    <w:rsid w:val="001E07CC"/>
    <w:rsid w:val="001F0046"/>
    <w:rsid w:val="001F6E8F"/>
    <w:rsid w:val="00207652"/>
    <w:rsid w:val="002108E8"/>
    <w:rsid w:val="002115D0"/>
    <w:rsid w:val="00214857"/>
    <w:rsid w:val="00215286"/>
    <w:rsid w:val="00216683"/>
    <w:rsid w:val="00216E88"/>
    <w:rsid w:val="00226B86"/>
    <w:rsid w:val="00227DAF"/>
    <w:rsid w:val="00232CEA"/>
    <w:rsid w:val="002334EF"/>
    <w:rsid w:val="00233990"/>
    <w:rsid w:val="00233F8D"/>
    <w:rsid w:val="0023573A"/>
    <w:rsid w:val="00235DB5"/>
    <w:rsid w:val="00237A7A"/>
    <w:rsid w:val="00244665"/>
    <w:rsid w:val="00246352"/>
    <w:rsid w:val="002470B6"/>
    <w:rsid w:val="00247148"/>
    <w:rsid w:val="002508BE"/>
    <w:rsid w:val="0026515E"/>
    <w:rsid w:val="002656E6"/>
    <w:rsid w:val="002768CF"/>
    <w:rsid w:val="00277090"/>
    <w:rsid w:val="00277C0E"/>
    <w:rsid w:val="00280C51"/>
    <w:rsid w:val="002900F7"/>
    <w:rsid w:val="002947FE"/>
    <w:rsid w:val="002A34C0"/>
    <w:rsid w:val="002A592D"/>
    <w:rsid w:val="002B4E7E"/>
    <w:rsid w:val="002C7B89"/>
    <w:rsid w:val="002D1D1E"/>
    <w:rsid w:val="002D3ACE"/>
    <w:rsid w:val="002D4108"/>
    <w:rsid w:val="002D6BD3"/>
    <w:rsid w:val="002E496C"/>
    <w:rsid w:val="002E5413"/>
    <w:rsid w:val="002E6357"/>
    <w:rsid w:val="002E6FB9"/>
    <w:rsid w:val="002F1BE9"/>
    <w:rsid w:val="002F1F2B"/>
    <w:rsid w:val="002F7611"/>
    <w:rsid w:val="003004B5"/>
    <w:rsid w:val="00300533"/>
    <w:rsid w:val="00300628"/>
    <w:rsid w:val="003034B7"/>
    <w:rsid w:val="00312101"/>
    <w:rsid w:val="00315F82"/>
    <w:rsid w:val="00317ECC"/>
    <w:rsid w:val="00320C52"/>
    <w:rsid w:val="00320E69"/>
    <w:rsid w:val="0033125E"/>
    <w:rsid w:val="003332AD"/>
    <w:rsid w:val="00340912"/>
    <w:rsid w:val="00341636"/>
    <w:rsid w:val="0034237C"/>
    <w:rsid w:val="00345364"/>
    <w:rsid w:val="003615E9"/>
    <w:rsid w:val="003624D9"/>
    <w:rsid w:val="00362F81"/>
    <w:rsid w:val="00364E37"/>
    <w:rsid w:val="00375365"/>
    <w:rsid w:val="003767B4"/>
    <w:rsid w:val="003802E3"/>
    <w:rsid w:val="003804FB"/>
    <w:rsid w:val="00386485"/>
    <w:rsid w:val="00387E9F"/>
    <w:rsid w:val="00393EBA"/>
    <w:rsid w:val="003A6F54"/>
    <w:rsid w:val="003B0490"/>
    <w:rsid w:val="003B2E74"/>
    <w:rsid w:val="003B76DF"/>
    <w:rsid w:val="003C1F2E"/>
    <w:rsid w:val="003D0508"/>
    <w:rsid w:val="003D0B41"/>
    <w:rsid w:val="003E1052"/>
    <w:rsid w:val="003E224E"/>
    <w:rsid w:val="003E33CA"/>
    <w:rsid w:val="003F2707"/>
    <w:rsid w:val="003F3F29"/>
    <w:rsid w:val="003F6FA5"/>
    <w:rsid w:val="003F7E65"/>
    <w:rsid w:val="00414814"/>
    <w:rsid w:val="00414A43"/>
    <w:rsid w:val="0042036D"/>
    <w:rsid w:val="004277CD"/>
    <w:rsid w:val="004379FB"/>
    <w:rsid w:val="0044374D"/>
    <w:rsid w:val="00444927"/>
    <w:rsid w:val="0045119A"/>
    <w:rsid w:val="004525DD"/>
    <w:rsid w:val="004570D9"/>
    <w:rsid w:val="00470302"/>
    <w:rsid w:val="0047112F"/>
    <w:rsid w:val="0047198C"/>
    <w:rsid w:val="00492FAD"/>
    <w:rsid w:val="004942C6"/>
    <w:rsid w:val="004959F3"/>
    <w:rsid w:val="004A4A12"/>
    <w:rsid w:val="004B3D29"/>
    <w:rsid w:val="004C7C4C"/>
    <w:rsid w:val="004D08B1"/>
    <w:rsid w:val="004D0B86"/>
    <w:rsid w:val="004D45AF"/>
    <w:rsid w:val="004D77DB"/>
    <w:rsid w:val="004E3FF3"/>
    <w:rsid w:val="004E71A8"/>
    <w:rsid w:val="004E7E4E"/>
    <w:rsid w:val="004F067C"/>
    <w:rsid w:val="004F4EFE"/>
    <w:rsid w:val="00506909"/>
    <w:rsid w:val="005306D4"/>
    <w:rsid w:val="00536076"/>
    <w:rsid w:val="00552AB2"/>
    <w:rsid w:val="005576C3"/>
    <w:rsid w:val="00564DAE"/>
    <w:rsid w:val="00570F48"/>
    <w:rsid w:val="005729AA"/>
    <w:rsid w:val="0059021E"/>
    <w:rsid w:val="00591A57"/>
    <w:rsid w:val="00591DD5"/>
    <w:rsid w:val="005A21CB"/>
    <w:rsid w:val="005A4385"/>
    <w:rsid w:val="005B10C9"/>
    <w:rsid w:val="005B189A"/>
    <w:rsid w:val="005B56DD"/>
    <w:rsid w:val="005B6D78"/>
    <w:rsid w:val="005B7179"/>
    <w:rsid w:val="005C0A4A"/>
    <w:rsid w:val="005C0BC1"/>
    <w:rsid w:val="005C1951"/>
    <w:rsid w:val="005D4735"/>
    <w:rsid w:val="005D5A18"/>
    <w:rsid w:val="005D7FDD"/>
    <w:rsid w:val="005E481D"/>
    <w:rsid w:val="005F46DA"/>
    <w:rsid w:val="005F521C"/>
    <w:rsid w:val="00600400"/>
    <w:rsid w:val="00603264"/>
    <w:rsid w:val="006073C1"/>
    <w:rsid w:val="006073DC"/>
    <w:rsid w:val="006125A1"/>
    <w:rsid w:val="00613984"/>
    <w:rsid w:val="00622386"/>
    <w:rsid w:val="00631BC7"/>
    <w:rsid w:val="006331AF"/>
    <w:rsid w:val="00637D98"/>
    <w:rsid w:val="00642E46"/>
    <w:rsid w:val="00643B84"/>
    <w:rsid w:val="00643CB0"/>
    <w:rsid w:val="006508E0"/>
    <w:rsid w:val="0066552E"/>
    <w:rsid w:val="0068016E"/>
    <w:rsid w:val="0069287E"/>
    <w:rsid w:val="00695F9A"/>
    <w:rsid w:val="006A4F22"/>
    <w:rsid w:val="006B201D"/>
    <w:rsid w:val="006B29B5"/>
    <w:rsid w:val="006B2D51"/>
    <w:rsid w:val="006B4992"/>
    <w:rsid w:val="006C2EDE"/>
    <w:rsid w:val="006C406B"/>
    <w:rsid w:val="006C5072"/>
    <w:rsid w:val="006D36C6"/>
    <w:rsid w:val="006D65FE"/>
    <w:rsid w:val="006E1928"/>
    <w:rsid w:val="006E2BE0"/>
    <w:rsid w:val="006E7C90"/>
    <w:rsid w:val="006F5698"/>
    <w:rsid w:val="006F70B0"/>
    <w:rsid w:val="007042C8"/>
    <w:rsid w:val="0070773B"/>
    <w:rsid w:val="00714CE1"/>
    <w:rsid w:val="007163C2"/>
    <w:rsid w:val="007166DE"/>
    <w:rsid w:val="00720765"/>
    <w:rsid w:val="007235A1"/>
    <w:rsid w:val="00734368"/>
    <w:rsid w:val="00741D54"/>
    <w:rsid w:val="00743F9C"/>
    <w:rsid w:val="00744C49"/>
    <w:rsid w:val="00756188"/>
    <w:rsid w:val="00763559"/>
    <w:rsid w:val="007704DA"/>
    <w:rsid w:val="007705D6"/>
    <w:rsid w:val="00771902"/>
    <w:rsid w:val="00773A11"/>
    <w:rsid w:val="00785E41"/>
    <w:rsid w:val="007976F8"/>
    <w:rsid w:val="007A18C6"/>
    <w:rsid w:val="007A30E6"/>
    <w:rsid w:val="007A58D9"/>
    <w:rsid w:val="007A5BEC"/>
    <w:rsid w:val="007A67EE"/>
    <w:rsid w:val="007B32D8"/>
    <w:rsid w:val="007B6802"/>
    <w:rsid w:val="007C049D"/>
    <w:rsid w:val="007C1CC5"/>
    <w:rsid w:val="007D2F32"/>
    <w:rsid w:val="007D520C"/>
    <w:rsid w:val="007E04B9"/>
    <w:rsid w:val="007E1B54"/>
    <w:rsid w:val="007E68BD"/>
    <w:rsid w:val="007F1BBD"/>
    <w:rsid w:val="007F3E1F"/>
    <w:rsid w:val="007F6E6A"/>
    <w:rsid w:val="00805718"/>
    <w:rsid w:val="00806562"/>
    <w:rsid w:val="00813ABA"/>
    <w:rsid w:val="00814C36"/>
    <w:rsid w:val="008178FC"/>
    <w:rsid w:val="00822C3F"/>
    <w:rsid w:val="00824861"/>
    <w:rsid w:val="008252BC"/>
    <w:rsid w:val="0082587F"/>
    <w:rsid w:val="00832298"/>
    <w:rsid w:val="0085190C"/>
    <w:rsid w:val="00852E28"/>
    <w:rsid w:val="00854790"/>
    <w:rsid w:val="0086260C"/>
    <w:rsid w:val="00864DA2"/>
    <w:rsid w:val="0086747E"/>
    <w:rsid w:val="008677C3"/>
    <w:rsid w:val="00871497"/>
    <w:rsid w:val="00877D1B"/>
    <w:rsid w:val="00883010"/>
    <w:rsid w:val="00883A29"/>
    <w:rsid w:val="00884044"/>
    <w:rsid w:val="0088695B"/>
    <w:rsid w:val="008902F3"/>
    <w:rsid w:val="00891CCE"/>
    <w:rsid w:val="00892036"/>
    <w:rsid w:val="00896112"/>
    <w:rsid w:val="00896FC0"/>
    <w:rsid w:val="00897910"/>
    <w:rsid w:val="008A0B40"/>
    <w:rsid w:val="008B26C0"/>
    <w:rsid w:val="008B2DD6"/>
    <w:rsid w:val="008B67C1"/>
    <w:rsid w:val="008B755E"/>
    <w:rsid w:val="008C2425"/>
    <w:rsid w:val="008C3E1C"/>
    <w:rsid w:val="008D21BE"/>
    <w:rsid w:val="008D7A4E"/>
    <w:rsid w:val="008E0545"/>
    <w:rsid w:val="008E1197"/>
    <w:rsid w:val="008E126D"/>
    <w:rsid w:val="008E5EF5"/>
    <w:rsid w:val="008E62B1"/>
    <w:rsid w:val="008F3C0A"/>
    <w:rsid w:val="008F5416"/>
    <w:rsid w:val="008F5FB6"/>
    <w:rsid w:val="009004F6"/>
    <w:rsid w:val="00904779"/>
    <w:rsid w:val="00906CC9"/>
    <w:rsid w:val="00907219"/>
    <w:rsid w:val="00911B89"/>
    <w:rsid w:val="00911CCF"/>
    <w:rsid w:val="009444F7"/>
    <w:rsid w:val="00945B01"/>
    <w:rsid w:val="0094713E"/>
    <w:rsid w:val="00950882"/>
    <w:rsid w:val="0095134F"/>
    <w:rsid w:val="00953557"/>
    <w:rsid w:val="0096652A"/>
    <w:rsid w:val="00971484"/>
    <w:rsid w:val="009764EF"/>
    <w:rsid w:val="00987233"/>
    <w:rsid w:val="00987AB4"/>
    <w:rsid w:val="009951E4"/>
    <w:rsid w:val="00996606"/>
    <w:rsid w:val="009A013A"/>
    <w:rsid w:val="009A158B"/>
    <w:rsid w:val="009A4B37"/>
    <w:rsid w:val="009A65AA"/>
    <w:rsid w:val="009A6B69"/>
    <w:rsid w:val="009B56E4"/>
    <w:rsid w:val="009C0D5D"/>
    <w:rsid w:val="009C437D"/>
    <w:rsid w:val="009C68C8"/>
    <w:rsid w:val="009D372E"/>
    <w:rsid w:val="009D407D"/>
    <w:rsid w:val="009D4779"/>
    <w:rsid w:val="009E1917"/>
    <w:rsid w:val="009F0AF4"/>
    <w:rsid w:val="009F36DD"/>
    <w:rsid w:val="009F6082"/>
    <w:rsid w:val="00A001BE"/>
    <w:rsid w:val="00A00C80"/>
    <w:rsid w:val="00A04870"/>
    <w:rsid w:val="00A05B1A"/>
    <w:rsid w:val="00A1316F"/>
    <w:rsid w:val="00A148DA"/>
    <w:rsid w:val="00A159B3"/>
    <w:rsid w:val="00A1639F"/>
    <w:rsid w:val="00A17110"/>
    <w:rsid w:val="00A21A94"/>
    <w:rsid w:val="00A21C96"/>
    <w:rsid w:val="00A22B75"/>
    <w:rsid w:val="00A2624D"/>
    <w:rsid w:val="00A279A9"/>
    <w:rsid w:val="00A32D30"/>
    <w:rsid w:val="00A33B99"/>
    <w:rsid w:val="00A35921"/>
    <w:rsid w:val="00A40DDC"/>
    <w:rsid w:val="00A4316D"/>
    <w:rsid w:val="00A463E5"/>
    <w:rsid w:val="00A50EDA"/>
    <w:rsid w:val="00A52A50"/>
    <w:rsid w:val="00A53411"/>
    <w:rsid w:val="00A5425F"/>
    <w:rsid w:val="00A54BFC"/>
    <w:rsid w:val="00A54FC4"/>
    <w:rsid w:val="00A6529D"/>
    <w:rsid w:val="00A656CD"/>
    <w:rsid w:val="00A71CBB"/>
    <w:rsid w:val="00A748AA"/>
    <w:rsid w:val="00A76629"/>
    <w:rsid w:val="00A77363"/>
    <w:rsid w:val="00A82312"/>
    <w:rsid w:val="00A82778"/>
    <w:rsid w:val="00A82D38"/>
    <w:rsid w:val="00A8483A"/>
    <w:rsid w:val="00A90784"/>
    <w:rsid w:val="00AA155B"/>
    <w:rsid w:val="00AA7C8B"/>
    <w:rsid w:val="00AB01D2"/>
    <w:rsid w:val="00AB13A1"/>
    <w:rsid w:val="00AB1BFC"/>
    <w:rsid w:val="00AB4AD6"/>
    <w:rsid w:val="00AC079A"/>
    <w:rsid w:val="00AC2346"/>
    <w:rsid w:val="00AC2B81"/>
    <w:rsid w:val="00AC5247"/>
    <w:rsid w:val="00AD12D2"/>
    <w:rsid w:val="00AE0B07"/>
    <w:rsid w:val="00AE18F4"/>
    <w:rsid w:val="00AE43EF"/>
    <w:rsid w:val="00AE4F67"/>
    <w:rsid w:val="00AF0F04"/>
    <w:rsid w:val="00AF341C"/>
    <w:rsid w:val="00B0198C"/>
    <w:rsid w:val="00B054F1"/>
    <w:rsid w:val="00B13227"/>
    <w:rsid w:val="00B203AF"/>
    <w:rsid w:val="00B2265C"/>
    <w:rsid w:val="00B22F02"/>
    <w:rsid w:val="00B242E5"/>
    <w:rsid w:val="00B250BD"/>
    <w:rsid w:val="00B25EDD"/>
    <w:rsid w:val="00B37B88"/>
    <w:rsid w:val="00B442E7"/>
    <w:rsid w:val="00B46C74"/>
    <w:rsid w:val="00B47E0C"/>
    <w:rsid w:val="00B51202"/>
    <w:rsid w:val="00B56213"/>
    <w:rsid w:val="00B6512D"/>
    <w:rsid w:val="00B6610F"/>
    <w:rsid w:val="00B6736D"/>
    <w:rsid w:val="00B730E3"/>
    <w:rsid w:val="00B75177"/>
    <w:rsid w:val="00B77F89"/>
    <w:rsid w:val="00B8006A"/>
    <w:rsid w:val="00B860C9"/>
    <w:rsid w:val="00B862FE"/>
    <w:rsid w:val="00B92CB6"/>
    <w:rsid w:val="00B94C91"/>
    <w:rsid w:val="00B9762E"/>
    <w:rsid w:val="00B97C7A"/>
    <w:rsid w:val="00BA29C3"/>
    <w:rsid w:val="00BA3812"/>
    <w:rsid w:val="00BA3DC9"/>
    <w:rsid w:val="00BB3FC7"/>
    <w:rsid w:val="00BB63F8"/>
    <w:rsid w:val="00BC37BF"/>
    <w:rsid w:val="00BD3D57"/>
    <w:rsid w:val="00BD482E"/>
    <w:rsid w:val="00BD641B"/>
    <w:rsid w:val="00BE04AE"/>
    <w:rsid w:val="00BE2238"/>
    <w:rsid w:val="00BE24F8"/>
    <w:rsid w:val="00BE2505"/>
    <w:rsid w:val="00BE3883"/>
    <w:rsid w:val="00BE77EC"/>
    <w:rsid w:val="00BF3186"/>
    <w:rsid w:val="00BF6A49"/>
    <w:rsid w:val="00BF71DD"/>
    <w:rsid w:val="00C02436"/>
    <w:rsid w:val="00C02E3F"/>
    <w:rsid w:val="00C03865"/>
    <w:rsid w:val="00C07C6C"/>
    <w:rsid w:val="00C104E4"/>
    <w:rsid w:val="00C113C7"/>
    <w:rsid w:val="00C25049"/>
    <w:rsid w:val="00C25965"/>
    <w:rsid w:val="00C314ED"/>
    <w:rsid w:val="00C3412A"/>
    <w:rsid w:val="00C4588A"/>
    <w:rsid w:val="00C45D0E"/>
    <w:rsid w:val="00C53B32"/>
    <w:rsid w:val="00C57150"/>
    <w:rsid w:val="00C576B3"/>
    <w:rsid w:val="00C6651F"/>
    <w:rsid w:val="00C7233A"/>
    <w:rsid w:val="00C749C6"/>
    <w:rsid w:val="00C74A64"/>
    <w:rsid w:val="00C77DCF"/>
    <w:rsid w:val="00C819C7"/>
    <w:rsid w:val="00C86017"/>
    <w:rsid w:val="00C86165"/>
    <w:rsid w:val="00C86967"/>
    <w:rsid w:val="00C86ECA"/>
    <w:rsid w:val="00C95021"/>
    <w:rsid w:val="00C95353"/>
    <w:rsid w:val="00CA15BB"/>
    <w:rsid w:val="00CA19D6"/>
    <w:rsid w:val="00CA71D3"/>
    <w:rsid w:val="00CB196E"/>
    <w:rsid w:val="00CB1FC4"/>
    <w:rsid w:val="00CB24A7"/>
    <w:rsid w:val="00CB4089"/>
    <w:rsid w:val="00CC244F"/>
    <w:rsid w:val="00CC5F54"/>
    <w:rsid w:val="00CD2E8E"/>
    <w:rsid w:val="00CD5B76"/>
    <w:rsid w:val="00CE1413"/>
    <w:rsid w:val="00CE18A4"/>
    <w:rsid w:val="00CE5AAA"/>
    <w:rsid w:val="00CE7FB3"/>
    <w:rsid w:val="00CF0413"/>
    <w:rsid w:val="00CF0F77"/>
    <w:rsid w:val="00CF18D7"/>
    <w:rsid w:val="00CF38AA"/>
    <w:rsid w:val="00CF7CB5"/>
    <w:rsid w:val="00D00AAA"/>
    <w:rsid w:val="00D035D6"/>
    <w:rsid w:val="00D039C5"/>
    <w:rsid w:val="00D05DF7"/>
    <w:rsid w:val="00D11514"/>
    <w:rsid w:val="00D16299"/>
    <w:rsid w:val="00D230B4"/>
    <w:rsid w:val="00D2426C"/>
    <w:rsid w:val="00D2463D"/>
    <w:rsid w:val="00D265A9"/>
    <w:rsid w:val="00D31CF1"/>
    <w:rsid w:val="00D34502"/>
    <w:rsid w:val="00D354B0"/>
    <w:rsid w:val="00D35C9C"/>
    <w:rsid w:val="00D4200A"/>
    <w:rsid w:val="00D42315"/>
    <w:rsid w:val="00D50832"/>
    <w:rsid w:val="00D54029"/>
    <w:rsid w:val="00D62699"/>
    <w:rsid w:val="00D65876"/>
    <w:rsid w:val="00D7350B"/>
    <w:rsid w:val="00D81E6B"/>
    <w:rsid w:val="00D838F9"/>
    <w:rsid w:val="00D83CE3"/>
    <w:rsid w:val="00D93F8F"/>
    <w:rsid w:val="00D965D9"/>
    <w:rsid w:val="00DA7D94"/>
    <w:rsid w:val="00DB1497"/>
    <w:rsid w:val="00DB343E"/>
    <w:rsid w:val="00DB3F65"/>
    <w:rsid w:val="00DC612C"/>
    <w:rsid w:val="00DC7C89"/>
    <w:rsid w:val="00DD4211"/>
    <w:rsid w:val="00DE2A74"/>
    <w:rsid w:val="00DE4B22"/>
    <w:rsid w:val="00DF26EA"/>
    <w:rsid w:val="00DF2C14"/>
    <w:rsid w:val="00E0364C"/>
    <w:rsid w:val="00E05C3C"/>
    <w:rsid w:val="00E108BA"/>
    <w:rsid w:val="00E12786"/>
    <w:rsid w:val="00E12B3A"/>
    <w:rsid w:val="00E138F0"/>
    <w:rsid w:val="00E16B38"/>
    <w:rsid w:val="00E16EBE"/>
    <w:rsid w:val="00E25155"/>
    <w:rsid w:val="00E25336"/>
    <w:rsid w:val="00E30668"/>
    <w:rsid w:val="00E31DBA"/>
    <w:rsid w:val="00E46FC0"/>
    <w:rsid w:val="00E51877"/>
    <w:rsid w:val="00E5300A"/>
    <w:rsid w:val="00E56044"/>
    <w:rsid w:val="00E5753E"/>
    <w:rsid w:val="00E60734"/>
    <w:rsid w:val="00E61447"/>
    <w:rsid w:val="00E72AFA"/>
    <w:rsid w:val="00E8131E"/>
    <w:rsid w:val="00E85D1C"/>
    <w:rsid w:val="00E875E6"/>
    <w:rsid w:val="00E947B9"/>
    <w:rsid w:val="00E94F2D"/>
    <w:rsid w:val="00EA45E0"/>
    <w:rsid w:val="00EA599E"/>
    <w:rsid w:val="00EA64A7"/>
    <w:rsid w:val="00EB084C"/>
    <w:rsid w:val="00EC02AA"/>
    <w:rsid w:val="00EC07CD"/>
    <w:rsid w:val="00ED2F27"/>
    <w:rsid w:val="00ED4C3B"/>
    <w:rsid w:val="00ED5E1A"/>
    <w:rsid w:val="00ED67B8"/>
    <w:rsid w:val="00EE623F"/>
    <w:rsid w:val="00EE7480"/>
    <w:rsid w:val="00EF4796"/>
    <w:rsid w:val="00EF76AE"/>
    <w:rsid w:val="00F03138"/>
    <w:rsid w:val="00F0439D"/>
    <w:rsid w:val="00F06D16"/>
    <w:rsid w:val="00F11410"/>
    <w:rsid w:val="00F11E41"/>
    <w:rsid w:val="00F12727"/>
    <w:rsid w:val="00F14D7A"/>
    <w:rsid w:val="00F15643"/>
    <w:rsid w:val="00F22B15"/>
    <w:rsid w:val="00F31FED"/>
    <w:rsid w:val="00F32334"/>
    <w:rsid w:val="00F3280F"/>
    <w:rsid w:val="00F34183"/>
    <w:rsid w:val="00F359C1"/>
    <w:rsid w:val="00F35F16"/>
    <w:rsid w:val="00F45FDF"/>
    <w:rsid w:val="00F52965"/>
    <w:rsid w:val="00F56358"/>
    <w:rsid w:val="00F63C33"/>
    <w:rsid w:val="00F645E7"/>
    <w:rsid w:val="00F67F47"/>
    <w:rsid w:val="00F70C01"/>
    <w:rsid w:val="00F76D7B"/>
    <w:rsid w:val="00F80436"/>
    <w:rsid w:val="00F833AB"/>
    <w:rsid w:val="00F83CC8"/>
    <w:rsid w:val="00F84050"/>
    <w:rsid w:val="00F84124"/>
    <w:rsid w:val="00F8798D"/>
    <w:rsid w:val="00F92AFE"/>
    <w:rsid w:val="00F942FC"/>
    <w:rsid w:val="00F94316"/>
    <w:rsid w:val="00F95632"/>
    <w:rsid w:val="00F96512"/>
    <w:rsid w:val="00FA0604"/>
    <w:rsid w:val="00FB7019"/>
    <w:rsid w:val="00FC2D20"/>
    <w:rsid w:val="00FC2D46"/>
    <w:rsid w:val="00FC4FA0"/>
    <w:rsid w:val="00FC527B"/>
    <w:rsid w:val="00FE0BC2"/>
    <w:rsid w:val="00FF40E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94D8D"/>
  <w15:docId w15:val="{501EF12F-3CB1-45DD-9F31-08BDD70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E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"/>
    <w:basedOn w:val="Normalny"/>
    <w:uiPriority w:val="99"/>
    <w:rsid w:val="00785E41"/>
    <w:pPr>
      <w:spacing w:before="100" w:beforeAutospacing="1" w:after="100" w:afterAutospacing="1"/>
    </w:pPr>
  </w:style>
  <w:style w:type="character" w:styleId="Odwoanieprzypisudolnego">
    <w:name w:val="footnote reference"/>
    <w:rsid w:val="00785E41"/>
    <w:rPr>
      <w:vertAlign w:val="superscript"/>
    </w:rPr>
  </w:style>
  <w:style w:type="paragraph" w:styleId="Akapitzlist">
    <w:name w:val="List Paragraph"/>
    <w:aliases w:val="Numerowanie,L1,Akapit z listą5,T_SZ_List Paragraph"/>
    <w:basedOn w:val="Normalny"/>
    <w:link w:val="AkapitzlistZnak"/>
    <w:uiPriority w:val="34"/>
    <w:qFormat/>
    <w:rsid w:val="00785E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85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5E41"/>
  </w:style>
  <w:style w:type="paragraph" w:styleId="Stopka">
    <w:name w:val="footer"/>
    <w:basedOn w:val="Normalny"/>
    <w:link w:val="StopkaZnak"/>
    <w:uiPriority w:val="99"/>
    <w:rsid w:val="00785E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5E41"/>
    <w:rPr>
      <w:sz w:val="24"/>
      <w:szCs w:val="24"/>
    </w:rPr>
  </w:style>
  <w:style w:type="paragraph" w:customStyle="1" w:styleId="Style2">
    <w:name w:val="Style2"/>
    <w:basedOn w:val="Normalny"/>
    <w:uiPriority w:val="99"/>
    <w:rsid w:val="00785E41"/>
    <w:pPr>
      <w:widowControl w:val="0"/>
      <w:autoSpaceDE w:val="0"/>
      <w:autoSpaceDN w:val="0"/>
      <w:adjustRightInd w:val="0"/>
      <w:spacing w:line="401" w:lineRule="exact"/>
      <w:ind w:firstLine="662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785E41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Normalny"/>
    <w:uiPriority w:val="99"/>
    <w:rsid w:val="00785E41"/>
    <w:pPr>
      <w:widowControl w:val="0"/>
      <w:autoSpaceDE w:val="0"/>
      <w:autoSpaceDN w:val="0"/>
      <w:adjustRightInd w:val="0"/>
      <w:spacing w:line="396" w:lineRule="exact"/>
      <w:ind w:hanging="324"/>
      <w:jc w:val="both"/>
    </w:pPr>
    <w:rPr>
      <w:rFonts w:ascii="Arial" w:hAnsi="Arial" w:cs="Arial"/>
    </w:rPr>
  </w:style>
  <w:style w:type="character" w:styleId="Hipercze">
    <w:name w:val="Hyperlink"/>
    <w:uiPriority w:val="99"/>
    <w:unhideWhenUsed/>
    <w:rsid w:val="00744C49"/>
    <w:rPr>
      <w:rFonts w:ascii="Verdana" w:hAnsi="Verdana" w:hint="default"/>
      <w:color w:val="0000CD"/>
      <w:sz w:val="17"/>
      <w:szCs w:val="17"/>
      <w:u w:val="single"/>
    </w:rPr>
  </w:style>
  <w:style w:type="paragraph" w:styleId="Nagwek">
    <w:name w:val="header"/>
    <w:basedOn w:val="Normalny"/>
    <w:link w:val="NagwekZnak"/>
    <w:rsid w:val="00813A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13ABA"/>
    <w:rPr>
      <w:sz w:val="24"/>
      <w:szCs w:val="24"/>
    </w:rPr>
  </w:style>
  <w:style w:type="paragraph" w:styleId="Tekstdymka">
    <w:name w:val="Balloon Text"/>
    <w:basedOn w:val="Normalny"/>
    <w:link w:val="TekstdymkaZnak"/>
    <w:rsid w:val="00813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13AB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84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41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4124"/>
  </w:style>
  <w:style w:type="paragraph" w:styleId="Tematkomentarza">
    <w:name w:val="annotation subject"/>
    <w:basedOn w:val="Tekstkomentarza"/>
    <w:next w:val="Tekstkomentarza"/>
    <w:link w:val="TematkomentarzaZnak"/>
    <w:rsid w:val="00F84124"/>
    <w:rPr>
      <w:b/>
      <w:bCs/>
    </w:rPr>
  </w:style>
  <w:style w:type="character" w:customStyle="1" w:styleId="TematkomentarzaZnak">
    <w:name w:val="Temat komentarza Znak"/>
    <w:link w:val="Tematkomentarza"/>
    <w:rsid w:val="00F84124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BF71DD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styleId="Poprawka">
    <w:name w:val="Revision"/>
    <w:hidden/>
    <w:uiPriority w:val="99"/>
    <w:semiHidden/>
    <w:rsid w:val="004D77D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2D1D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1D1E"/>
  </w:style>
  <w:style w:type="character" w:styleId="Odwoanieprzypisukocowego">
    <w:name w:val="endnote reference"/>
    <w:basedOn w:val="Domylnaczcionkaakapitu"/>
    <w:semiHidden/>
    <w:unhideWhenUsed/>
    <w:rsid w:val="002D1D1E"/>
    <w:rPr>
      <w:vertAlign w:val="superscript"/>
    </w:rPr>
  </w:style>
  <w:style w:type="paragraph" w:styleId="Listapunktowana4">
    <w:name w:val="List Bullet 4"/>
    <w:basedOn w:val="Normalny"/>
    <w:uiPriority w:val="99"/>
    <w:unhideWhenUsed/>
    <w:rsid w:val="00D05DF7"/>
    <w:pPr>
      <w:numPr>
        <w:numId w:val="19"/>
      </w:numPr>
      <w:tabs>
        <w:tab w:val="clear" w:pos="1209"/>
      </w:tabs>
      <w:spacing w:after="160" w:line="259" w:lineRule="auto"/>
      <w:ind w:left="417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L1 Znak,Akapit z listą5 Znak,T_SZ_List Paragraph Znak"/>
    <w:link w:val="Akapitzlist"/>
    <w:uiPriority w:val="34"/>
    <w:locked/>
    <w:rsid w:val="00A53411"/>
    <w:rPr>
      <w:sz w:val="24"/>
      <w:szCs w:val="24"/>
    </w:rPr>
  </w:style>
  <w:style w:type="table" w:styleId="Tabela-Siatka">
    <w:name w:val="Table Grid"/>
    <w:basedOn w:val="Standardowy"/>
    <w:uiPriority w:val="39"/>
    <w:rsid w:val="00A534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53411"/>
    <w:pPr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37D4-3229-4E64-B094-817153D7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2113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Katarzyna.Szlyk</dc:creator>
  <cp:lastModifiedBy>Bańkowska Lidia</cp:lastModifiedBy>
  <cp:revision>2</cp:revision>
  <cp:lastPrinted>2015-04-30T07:36:00Z</cp:lastPrinted>
  <dcterms:created xsi:type="dcterms:W3CDTF">2024-12-03T16:25:00Z</dcterms:created>
  <dcterms:modified xsi:type="dcterms:W3CDTF">2024-12-03T16:25:00Z</dcterms:modified>
</cp:coreProperties>
</file>